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296" w:rsidRPr="0099506E" w:rsidRDefault="00503296" w:rsidP="00503296">
      <w:pPr>
        <w:ind w:right="1274"/>
        <w:jc w:val="both"/>
        <w:rPr>
          <w:rFonts w:ascii="Tahoma" w:hAnsi="Tahoma" w:cs="Tahoma"/>
          <w:b/>
          <w:i/>
          <w:sz w:val="20"/>
          <w:szCs w:val="20"/>
        </w:rPr>
      </w:pPr>
    </w:p>
    <w:p w:rsidR="00503296" w:rsidRPr="0099506E" w:rsidRDefault="00503296" w:rsidP="00503296">
      <w:pPr>
        <w:ind w:left="2832" w:right="1843" w:hanging="1131"/>
        <w:jc w:val="both"/>
        <w:rPr>
          <w:rFonts w:ascii="Tahoma" w:hAnsi="Tahoma" w:cs="Tahoma"/>
          <w:b/>
          <w:i/>
          <w:sz w:val="20"/>
          <w:szCs w:val="20"/>
          <w:highlight w:val="yellow"/>
        </w:rPr>
      </w:pPr>
      <w:r w:rsidRPr="0099506E">
        <w:rPr>
          <w:rFonts w:ascii="Tahoma" w:hAnsi="Tahoma" w:cs="Tahoma"/>
          <w:b/>
          <w:i/>
          <w:sz w:val="20"/>
          <w:szCs w:val="20"/>
        </w:rPr>
        <w:t>Sumilla</w:t>
      </w:r>
      <w:r w:rsidRPr="008B483F">
        <w:rPr>
          <w:rFonts w:ascii="Tahoma" w:hAnsi="Tahoma" w:cs="Tahoma"/>
          <w:b/>
          <w:i/>
          <w:sz w:val="20"/>
          <w:szCs w:val="20"/>
        </w:rPr>
        <w:t xml:space="preserve">:  </w:t>
      </w:r>
      <w:r w:rsidR="008B483F" w:rsidRPr="008B483F">
        <w:rPr>
          <w:rFonts w:ascii="Tahoma" w:hAnsi="Tahoma" w:cs="Tahoma"/>
          <w:b/>
          <w:i/>
          <w:sz w:val="20"/>
          <w:szCs w:val="20"/>
        </w:rPr>
        <w:t>“</w:t>
      </w:r>
      <w:r w:rsidR="008B483F" w:rsidRPr="008B483F">
        <w:rPr>
          <w:rFonts w:ascii="Tahoma" w:hAnsi="Tahoma" w:cs="Tahoma"/>
          <w:i/>
          <w:sz w:val="20"/>
          <w:szCs w:val="20"/>
        </w:rPr>
        <w:t>La Ley de Procedimiento Administrativo General establece que no se podrá imponer sucesiva o simultáneamente una pena y una sanción administrativa por el mismo hecho en los casos que se aprecie la identidad del sujeto, hecho y fundamento”.</w:t>
      </w:r>
    </w:p>
    <w:p w:rsidR="00503296" w:rsidRPr="0099506E" w:rsidRDefault="00503296" w:rsidP="00503296">
      <w:pPr>
        <w:ind w:left="2694" w:right="991" w:hanging="1418"/>
        <w:jc w:val="right"/>
        <w:rPr>
          <w:rFonts w:ascii="Tahoma" w:hAnsi="Tahoma" w:cs="Tahoma"/>
          <w:b/>
          <w:i/>
          <w:sz w:val="20"/>
          <w:szCs w:val="20"/>
          <w:highlight w:val="yellow"/>
        </w:rPr>
      </w:pPr>
    </w:p>
    <w:p w:rsidR="00503296" w:rsidRPr="0099506E" w:rsidRDefault="00503296" w:rsidP="00503296">
      <w:pPr>
        <w:pStyle w:val="Textoindependiente3"/>
        <w:ind w:left="4956" w:firstLine="708"/>
        <w:rPr>
          <w:rFonts w:ascii="Tahoma" w:hAnsi="Tahoma" w:cs="Tahoma"/>
          <w:sz w:val="20"/>
          <w:szCs w:val="20"/>
        </w:rPr>
      </w:pPr>
      <w:r w:rsidRPr="0099506E">
        <w:rPr>
          <w:rFonts w:ascii="Tahoma" w:hAnsi="Tahoma" w:cs="Tahoma"/>
          <w:sz w:val="20"/>
          <w:szCs w:val="20"/>
        </w:rPr>
        <w:t xml:space="preserve">Lima, </w:t>
      </w:r>
      <w:r w:rsidR="00001F0C">
        <w:rPr>
          <w:rFonts w:ascii="Tahoma" w:hAnsi="Tahoma" w:cs="Tahoma"/>
          <w:sz w:val="20"/>
          <w:szCs w:val="20"/>
        </w:rPr>
        <w:t>12 de Julio de 2011</w:t>
      </w:r>
    </w:p>
    <w:p w:rsidR="00503296" w:rsidRPr="0099506E" w:rsidRDefault="00503296" w:rsidP="00503296">
      <w:pPr>
        <w:pStyle w:val="Textoindependiente3"/>
        <w:rPr>
          <w:rFonts w:ascii="Tahoma" w:hAnsi="Tahoma" w:cs="Tahoma"/>
          <w:b/>
          <w:sz w:val="20"/>
          <w:szCs w:val="20"/>
        </w:rPr>
      </w:pPr>
    </w:p>
    <w:p w:rsidR="00503296" w:rsidRPr="0099506E" w:rsidRDefault="00503296" w:rsidP="00503296">
      <w:pPr>
        <w:tabs>
          <w:tab w:val="left" w:pos="8280"/>
        </w:tabs>
        <w:jc w:val="both"/>
        <w:rPr>
          <w:rFonts w:ascii="Tahoma" w:hAnsi="Tahoma" w:cs="Tahoma"/>
          <w:color w:val="000000"/>
          <w:sz w:val="20"/>
          <w:szCs w:val="20"/>
        </w:rPr>
      </w:pPr>
      <w:r w:rsidRPr="0099506E">
        <w:rPr>
          <w:rFonts w:ascii="Tahoma" w:hAnsi="Tahoma" w:cs="Tahoma"/>
          <w:b/>
          <w:sz w:val="20"/>
          <w:szCs w:val="20"/>
        </w:rPr>
        <w:t>VISTO,</w:t>
      </w:r>
      <w:r w:rsidRPr="0099506E">
        <w:rPr>
          <w:rFonts w:ascii="Tahoma" w:hAnsi="Tahoma" w:cs="Tahoma"/>
          <w:sz w:val="20"/>
          <w:szCs w:val="20"/>
        </w:rPr>
        <w:t xml:space="preserve"> </w:t>
      </w:r>
      <w:r w:rsidRPr="0099506E">
        <w:rPr>
          <w:rFonts w:ascii="Tahoma" w:hAnsi="Tahoma" w:cs="Tahoma"/>
          <w:color w:val="000000"/>
          <w:sz w:val="20"/>
          <w:szCs w:val="20"/>
        </w:rPr>
        <w:t xml:space="preserve">en sesión de fecha </w:t>
      </w:r>
      <w:r w:rsidR="0099506E">
        <w:rPr>
          <w:rFonts w:ascii="Tahoma" w:hAnsi="Tahoma" w:cs="Tahoma"/>
          <w:color w:val="000000"/>
          <w:sz w:val="20"/>
          <w:szCs w:val="20"/>
        </w:rPr>
        <w:t>12</w:t>
      </w:r>
      <w:r w:rsidR="008A0308" w:rsidRPr="0099506E">
        <w:rPr>
          <w:rFonts w:ascii="Tahoma" w:hAnsi="Tahoma" w:cs="Tahoma"/>
          <w:color w:val="000000"/>
          <w:sz w:val="20"/>
          <w:szCs w:val="20"/>
        </w:rPr>
        <w:t xml:space="preserve"> de </w:t>
      </w:r>
      <w:r w:rsidR="0099506E">
        <w:rPr>
          <w:rFonts w:ascii="Tahoma" w:hAnsi="Tahoma" w:cs="Tahoma"/>
          <w:color w:val="000000"/>
          <w:sz w:val="20"/>
          <w:szCs w:val="20"/>
        </w:rPr>
        <w:t>julio</w:t>
      </w:r>
      <w:r w:rsidRPr="0099506E">
        <w:rPr>
          <w:rFonts w:ascii="Tahoma" w:hAnsi="Tahoma" w:cs="Tahoma"/>
          <w:color w:val="000000"/>
          <w:sz w:val="20"/>
          <w:szCs w:val="20"/>
        </w:rPr>
        <w:t xml:space="preserve"> de 2011 de la </w:t>
      </w:r>
      <w:r w:rsidR="00D46E7E" w:rsidRPr="0099506E">
        <w:rPr>
          <w:rFonts w:ascii="Tahoma" w:hAnsi="Tahoma" w:cs="Tahoma"/>
          <w:color w:val="000000"/>
          <w:sz w:val="20"/>
          <w:szCs w:val="20"/>
        </w:rPr>
        <w:t>Primera</w:t>
      </w:r>
      <w:r w:rsidRPr="0099506E">
        <w:rPr>
          <w:rFonts w:ascii="Tahoma" w:hAnsi="Tahoma" w:cs="Tahoma"/>
          <w:color w:val="000000"/>
          <w:sz w:val="20"/>
          <w:szCs w:val="20"/>
        </w:rPr>
        <w:t xml:space="preserve"> Sala del Tribunal de Contrataciones del Estado, el Expediente </w:t>
      </w:r>
      <w:r w:rsidRPr="0099506E">
        <w:rPr>
          <w:rFonts w:ascii="Tahoma" w:hAnsi="Tahoma" w:cs="Tahoma"/>
          <w:sz w:val="20"/>
          <w:szCs w:val="20"/>
        </w:rPr>
        <w:t xml:space="preserve">№ </w:t>
      </w:r>
      <w:r w:rsidR="008B483F">
        <w:rPr>
          <w:rFonts w:ascii="Tahoma" w:hAnsi="Tahoma" w:cs="Tahoma"/>
          <w:sz w:val="20"/>
          <w:szCs w:val="20"/>
        </w:rPr>
        <w:t>71</w:t>
      </w:r>
      <w:r w:rsidR="00623C2C" w:rsidRPr="0099506E">
        <w:rPr>
          <w:rFonts w:ascii="Tahoma" w:hAnsi="Tahoma" w:cs="Tahoma"/>
          <w:sz w:val="20"/>
          <w:szCs w:val="20"/>
        </w:rPr>
        <w:t>/201</w:t>
      </w:r>
      <w:r w:rsidR="008B483F">
        <w:rPr>
          <w:rFonts w:ascii="Tahoma" w:hAnsi="Tahoma" w:cs="Tahoma"/>
          <w:sz w:val="20"/>
          <w:szCs w:val="20"/>
        </w:rPr>
        <w:t>1</w:t>
      </w:r>
      <w:r w:rsidRPr="0099506E">
        <w:rPr>
          <w:rFonts w:ascii="Tahoma" w:hAnsi="Tahoma" w:cs="Tahoma"/>
          <w:sz w:val="20"/>
          <w:szCs w:val="20"/>
        </w:rPr>
        <w:t>.TC</w:t>
      </w:r>
      <w:r w:rsidRPr="0099506E">
        <w:rPr>
          <w:rFonts w:ascii="Tahoma" w:hAnsi="Tahoma" w:cs="Tahoma"/>
          <w:color w:val="000000"/>
          <w:sz w:val="20"/>
          <w:szCs w:val="20"/>
        </w:rPr>
        <w:t xml:space="preserve"> sobre el procedimiento administrativo sancionador iniciado contra </w:t>
      </w:r>
      <w:r w:rsidR="008A0308" w:rsidRPr="0099506E">
        <w:rPr>
          <w:rFonts w:ascii="Tahoma" w:hAnsi="Tahoma" w:cs="Tahoma"/>
          <w:color w:val="000000"/>
          <w:sz w:val="20"/>
          <w:szCs w:val="20"/>
        </w:rPr>
        <w:t xml:space="preserve">la empresa </w:t>
      </w:r>
      <w:r w:rsidR="008B483F" w:rsidRPr="008B483F">
        <w:rPr>
          <w:rFonts w:ascii="Tahoma" w:hAnsi="Tahoma" w:cs="Tahoma"/>
          <w:sz w:val="20"/>
          <w:szCs w:val="20"/>
        </w:rPr>
        <w:t>DISTRIBUIDORA CONST Q &amp; P E.I.R.L.</w:t>
      </w:r>
      <w:r w:rsidR="008A0308" w:rsidRPr="0099506E">
        <w:rPr>
          <w:rFonts w:ascii="Tahoma" w:hAnsi="Tahoma" w:cs="Tahoma"/>
          <w:color w:val="000000"/>
          <w:sz w:val="20"/>
          <w:szCs w:val="20"/>
        </w:rPr>
        <w:t xml:space="preserve"> </w:t>
      </w:r>
      <w:r w:rsidRPr="0099506E">
        <w:rPr>
          <w:rFonts w:ascii="Tahoma" w:hAnsi="Tahoma" w:cs="Tahoma"/>
          <w:color w:val="000000"/>
          <w:sz w:val="20"/>
          <w:szCs w:val="20"/>
        </w:rPr>
        <w:t>por su supuesta responsabilidad en la presentación de documentos</w:t>
      </w:r>
      <w:r w:rsidR="00C24737" w:rsidRPr="0099506E">
        <w:rPr>
          <w:rFonts w:ascii="Tahoma" w:hAnsi="Tahoma" w:cs="Tahoma"/>
          <w:color w:val="000000"/>
          <w:sz w:val="20"/>
          <w:szCs w:val="20"/>
        </w:rPr>
        <w:t xml:space="preserve"> falsos y/o </w:t>
      </w:r>
      <w:r w:rsidRPr="0099506E">
        <w:rPr>
          <w:rFonts w:ascii="Tahoma" w:hAnsi="Tahoma" w:cs="Tahoma"/>
          <w:color w:val="000000"/>
          <w:sz w:val="20"/>
          <w:szCs w:val="20"/>
        </w:rPr>
        <w:t>inexactos durante</w:t>
      </w:r>
      <w:r w:rsidRPr="0099506E">
        <w:rPr>
          <w:rFonts w:ascii="Tahoma" w:hAnsi="Tahoma" w:cs="Tahoma"/>
          <w:sz w:val="20"/>
          <w:szCs w:val="20"/>
        </w:rPr>
        <w:t xml:space="preserve"> </w:t>
      </w:r>
      <w:r w:rsidR="008A0308" w:rsidRPr="0099506E">
        <w:rPr>
          <w:rFonts w:ascii="Tahoma" w:hAnsi="Tahoma" w:cs="Tahoma"/>
          <w:sz w:val="20"/>
          <w:szCs w:val="20"/>
        </w:rPr>
        <w:t xml:space="preserve">su </w:t>
      </w:r>
      <w:r w:rsidR="008B483F">
        <w:rPr>
          <w:rFonts w:ascii="Tahoma" w:hAnsi="Tahoma" w:cs="Tahoma"/>
          <w:sz w:val="20"/>
          <w:szCs w:val="20"/>
        </w:rPr>
        <w:t>r</w:t>
      </w:r>
      <w:r w:rsidR="008B483F" w:rsidRPr="008B483F">
        <w:rPr>
          <w:rFonts w:ascii="Tahoma" w:hAnsi="Tahoma" w:cs="Tahoma"/>
          <w:sz w:val="20"/>
          <w:szCs w:val="20"/>
        </w:rPr>
        <w:t>enovación</w:t>
      </w:r>
      <w:r w:rsidR="008B483F">
        <w:rPr>
          <w:rFonts w:ascii="Tahoma" w:hAnsi="Tahoma" w:cs="Tahoma"/>
          <w:sz w:val="20"/>
          <w:szCs w:val="20"/>
        </w:rPr>
        <w:t xml:space="preserve"> </w:t>
      </w:r>
      <w:r w:rsidR="007E5F0C" w:rsidRPr="0099506E">
        <w:rPr>
          <w:rFonts w:ascii="Tahoma" w:hAnsi="Tahoma" w:cs="Tahoma"/>
          <w:sz w:val="20"/>
          <w:szCs w:val="20"/>
        </w:rPr>
        <w:t xml:space="preserve">como Ejecutor de Obras </w:t>
      </w:r>
      <w:r w:rsidR="008A0308" w:rsidRPr="0099506E">
        <w:rPr>
          <w:rFonts w:ascii="Tahoma" w:hAnsi="Tahoma" w:cs="Tahoma"/>
          <w:sz w:val="20"/>
          <w:szCs w:val="20"/>
        </w:rPr>
        <w:t>ante el Registro Nacional de Proveedores (RNP) del OSCE</w:t>
      </w:r>
      <w:r w:rsidRPr="0099506E">
        <w:rPr>
          <w:rFonts w:ascii="Tahoma" w:hAnsi="Tahoma" w:cs="Tahoma"/>
          <w:color w:val="000000"/>
          <w:sz w:val="20"/>
          <w:szCs w:val="20"/>
        </w:rPr>
        <w:t>; y, atendiendo a los siguientes:</w:t>
      </w:r>
    </w:p>
    <w:p w:rsidR="00F31A7A" w:rsidRPr="0099506E" w:rsidRDefault="00F31A7A" w:rsidP="00F31A7A">
      <w:pPr>
        <w:jc w:val="both"/>
        <w:rPr>
          <w:rFonts w:ascii="Tahoma" w:hAnsi="Tahoma" w:cs="Tahoma"/>
          <w:b/>
          <w:shadow/>
          <w:sz w:val="20"/>
          <w:szCs w:val="20"/>
        </w:rPr>
      </w:pPr>
    </w:p>
    <w:p w:rsidR="00F31A7A" w:rsidRPr="0099506E" w:rsidRDefault="00F31A7A" w:rsidP="00F31A7A">
      <w:pPr>
        <w:jc w:val="both"/>
        <w:rPr>
          <w:rFonts w:ascii="Tahoma" w:hAnsi="Tahoma" w:cs="Tahoma"/>
          <w:b/>
          <w:shadow/>
          <w:sz w:val="20"/>
          <w:szCs w:val="20"/>
        </w:rPr>
      </w:pPr>
      <w:r w:rsidRPr="0099506E">
        <w:rPr>
          <w:rFonts w:ascii="Tahoma" w:hAnsi="Tahoma" w:cs="Tahoma"/>
          <w:b/>
          <w:shadow/>
          <w:sz w:val="20"/>
          <w:szCs w:val="20"/>
        </w:rPr>
        <w:t>ANTECEDENTES:</w:t>
      </w:r>
    </w:p>
    <w:p w:rsidR="00F31A7A" w:rsidRPr="0099506E" w:rsidRDefault="00F31A7A" w:rsidP="00F31A7A">
      <w:pPr>
        <w:jc w:val="both"/>
        <w:rPr>
          <w:rFonts w:ascii="Tahoma" w:hAnsi="Tahoma" w:cs="Tahoma"/>
          <w:sz w:val="20"/>
          <w:szCs w:val="20"/>
        </w:rPr>
      </w:pPr>
    </w:p>
    <w:p w:rsidR="0099506E" w:rsidRPr="0099506E" w:rsidRDefault="0099506E" w:rsidP="0099506E">
      <w:pPr>
        <w:pStyle w:val="Textoindependiente"/>
        <w:numPr>
          <w:ilvl w:val="0"/>
          <w:numId w:val="8"/>
        </w:numPr>
        <w:tabs>
          <w:tab w:val="left" w:pos="-2340"/>
        </w:tabs>
        <w:ind w:left="567" w:hanging="567"/>
        <w:rPr>
          <w:rFonts w:cs="Tahoma"/>
          <w:sz w:val="20"/>
        </w:rPr>
      </w:pPr>
      <w:r w:rsidRPr="0099506E">
        <w:rPr>
          <w:rFonts w:cs="Tahoma"/>
          <w:sz w:val="20"/>
        </w:rPr>
        <w:t>El 25 de marzo de 2009, la empresa DISTRIBUIDORA CONST Q &amp; P E.I.R.L., en adelante el Proveedor, solicitó su renovación en el Capitulo de Obras ante el Registro Nacional de Proveedores (RNP) del OSCE, en adelante la Entidad. Razón por la cual, el 27 de abril de 2009, a través de la Resolución de la Subdirección del Registro № 3094/2009-OSCE/SREG, se aprobó la citada renovación, expidiéndosele el Certificado de Inscripción № 2047 de fecha 27 de abril de 2010.</w:t>
      </w:r>
    </w:p>
    <w:p w:rsidR="0099506E" w:rsidRPr="0099506E" w:rsidRDefault="0099506E" w:rsidP="0099506E">
      <w:pPr>
        <w:pStyle w:val="Textoindependiente"/>
        <w:tabs>
          <w:tab w:val="left" w:pos="-2340"/>
        </w:tabs>
        <w:ind w:left="567"/>
        <w:rPr>
          <w:rFonts w:cs="Tahoma"/>
          <w:sz w:val="20"/>
        </w:rPr>
      </w:pPr>
    </w:p>
    <w:p w:rsidR="0099506E" w:rsidRPr="0099506E" w:rsidRDefault="0099506E" w:rsidP="0099506E">
      <w:pPr>
        <w:pStyle w:val="Textoindependiente"/>
        <w:tabs>
          <w:tab w:val="left" w:pos="-2340"/>
        </w:tabs>
        <w:ind w:left="567"/>
        <w:rPr>
          <w:rFonts w:cs="Tahoma"/>
          <w:i/>
          <w:sz w:val="20"/>
        </w:rPr>
      </w:pPr>
      <w:r w:rsidRPr="0099506E">
        <w:rPr>
          <w:rFonts w:cs="Tahoma"/>
          <w:sz w:val="20"/>
        </w:rPr>
        <w:t>Con ocasión de dicho trámite, el Proveedor presentó una  Declaración Jurada de integrantes del Plantel Técnico, suscrita por el Ingeniero Juan Epifanio Vargas Valverde.</w:t>
      </w:r>
    </w:p>
    <w:p w:rsidR="0099506E" w:rsidRPr="0099506E" w:rsidRDefault="0099506E" w:rsidP="0099506E">
      <w:pPr>
        <w:pStyle w:val="Textoindependiente"/>
        <w:tabs>
          <w:tab w:val="left" w:pos="-2340"/>
        </w:tabs>
        <w:ind w:left="567"/>
        <w:rPr>
          <w:rFonts w:cs="Tahoma"/>
          <w:sz w:val="20"/>
        </w:rPr>
      </w:pPr>
    </w:p>
    <w:p w:rsidR="0099506E" w:rsidRPr="0099506E" w:rsidRDefault="0099506E" w:rsidP="0099506E">
      <w:pPr>
        <w:pStyle w:val="Textoindependiente"/>
        <w:numPr>
          <w:ilvl w:val="0"/>
          <w:numId w:val="8"/>
        </w:numPr>
        <w:tabs>
          <w:tab w:val="left" w:pos="-2340"/>
        </w:tabs>
        <w:ind w:left="567" w:hanging="567"/>
        <w:rPr>
          <w:rFonts w:cs="Tahoma"/>
          <w:sz w:val="20"/>
        </w:rPr>
      </w:pPr>
      <w:r w:rsidRPr="0099506E">
        <w:rPr>
          <w:rFonts w:cs="Tahoma"/>
          <w:sz w:val="20"/>
          <w:lang w:eastAsia="en-US"/>
        </w:rPr>
        <w:t>Que, de conformidad con lo establecido en el artículo 32 de la Ley № 27444 – Ley del Procedimiento Administrativo General, se dispuso efectuar la Fiscalización Posterior a la documentación presentada por el Proveedor, en su trámite de renovación de inscripción como ejecutor de obra seguido ante el RNP.</w:t>
      </w:r>
    </w:p>
    <w:p w:rsidR="0099506E" w:rsidRPr="0099506E" w:rsidRDefault="0099506E" w:rsidP="0099506E">
      <w:pPr>
        <w:pStyle w:val="Textoindependiente"/>
        <w:tabs>
          <w:tab w:val="left" w:pos="-2340"/>
        </w:tabs>
        <w:ind w:left="567"/>
        <w:rPr>
          <w:rFonts w:cs="Tahoma"/>
          <w:sz w:val="20"/>
        </w:rPr>
      </w:pPr>
    </w:p>
    <w:p w:rsidR="0099506E" w:rsidRPr="0099506E" w:rsidRDefault="0099506E" w:rsidP="0099506E">
      <w:pPr>
        <w:pStyle w:val="Textoindependiente"/>
        <w:numPr>
          <w:ilvl w:val="0"/>
          <w:numId w:val="8"/>
        </w:numPr>
        <w:tabs>
          <w:tab w:val="left" w:pos="-2340"/>
        </w:tabs>
        <w:ind w:left="567" w:hanging="567"/>
        <w:rPr>
          <w:rFonts w:cs="Tahoma"/>
          <w:sz w:val="20"/>
        </w:rPr>
      </w:pPr>
      <w:r w:rsidRPr="0099506E">
        <w:rPr>
          <w:rFonts w:cs="Tahoma"/>
          <w:sz w:val="20"/>
        </w:rPr>
        <w:t>En ese sentido, a través del Oficio № 3753-2009-OSCE-DSF/SFIS.(KC) la Subdirección del Registro Nacional de Proveedores solicitó al Ingeniero Juan Epifanio Vargas Valverde que diera su conformidad al contenido y firma a la Declaración Jurada de integrantes del Plantel Técnico presentada por el Proveedor a fin de acreditar capacidad técnica.</w:t>
      </w:r>
    </w:p>
    <w:p w:rsidR="0099506E" w:rsidRPr="0099506E" w:rsidRDefault="0099506E" w:rsidP="0099506E">
      <w:pPr>
        <w:pStyle w:val="Textoindependiente"/>
        <w:tabs>
          <w:tab w:val="left" w:pos="-2340"/>
        </w:tabs>
        <w:ind w:left="567"/>
        <w:rPr>
          <w:rFonts w:cs="Tahoma"/>
          <w:sz w:val="20"/>
        </w:rPr>
      </w:pPr>
    </w:p>
    <w:p w:rsidR="0099506E" w:rsidRPr="0099506E" w:rsidRDefault="0099506E" w:rsidP="0099506E">
      <w:pPr>
        <w:pStyle w:val="Textoindependiente"/>
        <w:numPr>
          <w:ilvl w:val="0"/>
          <w:numId w:val="8"/>
        </w:numPr>
        <w:tabs>
          <w:tab w:val="left" w:pos="-2340"/>
        </w:tabs>
        <w:ind w:left="567" w:hanging="567"/>
        <w:rPr>
          <w:rFonts w:cs="Tahoma"/>
          <w:i/>
          <w:sz w:val="20"/>
        </w:rPr>
      </w:pPr>
      <w:r w:rsidRPr="0099506E">
        <w:rPr>
          <w:rFonts w:cs="Tahoma"/>
          <w:sz w:val="20"/>
        </w:rPr>
        <w:t xml:space="preserve">Con Carta s/n de fecha 07 de septiembre de 2009, el Ingeniero Juan Epifanio Vargas Valverde comunicó a la Entidad lo siguiente: </w:t>
      </w:r>
      <w:r w:rsidRPr="0099506E">
        <w:rPr>
          <w:rFonts w:cs="Tahoma"/>
          <w:i/>
          <w:sz w:val="20"/>
        </w:rPr>
        <w:t>«niego la veracidad del contenido y firma consignada en la Declaración Jurada de integrantes del Plantel Técnico presentada por la mencionada empresa (…)  ». (sic)</w:t>
      </w:r>
    </w:p>
    <w:p w:rsidR="0099506E" w:rsidRPr="0099506E" w:rsidRDefault="0099506E" w:rsidP="0099506E">
      <w:pPr>
        <w:pStyle w:val="Textoindependiente"/>
        <w:tabs>
          <w:tab w:val="left" w:pos="-2340"/>
        </w:tabs>
        <w:ind w:left="567"/>
        <w:rPr>
          <w:rFonts w:cs="Tahoma"/>
          <w:sz w:val="20"/>
        </w:rPr>
      </w:pPr>
    </w:p>
    <w:p w:rsidR="0099506E" w:rsidRPr="0099506E" w:rsidRDefault="0099506E" w:rsidP="0099506E">
      <w:pPr>
        <w:pStyle w:val="Textoindependiente"/>
        <w:numPr>
          <w:ilvl w:val="0"/>
          <w:numId w:val="8"/>
        </w:numPr>
        <w:tabs>
          <w:tab w:val="left" w:pos="-2340"/>
        </w:tabs>
        <w:ind w:left="567" w:hanging="567"/>
        <w:rPr>
          <w:rFonts w:cs="Tahoma"/>
          <w:sz w:val="20"/>
        </w:rPr>
      </w:pPr>
      <w:r w:rsidRPr="0099506E">
        <w:rPr>
          <w:rFonts w:cs="Tahoma"/>
          <w:sz w:val="20"/>
        </w:rPr>
        <w:lastRenderedPageBreak/>
        <w:t>Mediante Oficio № 2944-2009-OSCE-DSF/SFIS.ID de fecha 23 de julio de 2009, en aplicación del Principio de Verdad Material, la Subdirección del Registro Nacional de Proveedores dispuso la realización de una pericia grafotécnica sobre la supuesta firma del Ingeniero Juan Epifanio Vargas Valverde, consignada en la Declaración Jurada de Integrantes del Plantel Técnico.</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Textoindependiente"/>
        <w:numPr>
          <w:ilvl w:val="0"/>
          <w:numId w:val="8"/>
        </w:numPr>
        <w:tabs>
          <w:tab w:val="left" w:pos="-2340"/>
        </w:tabs>
        <w:ind w:left="567" w:hanging="567"/>
        <w:rPr>
          <w:rFonts w:cs="Tahoma"/>
          <w:sz w:val="20"/>
        </w:rPr>
      </w:pPr>
      <w:r w:rsidRPr="0099506E">
        <w:rPr>
          <w:rFonts w:cs="Tahoma"/>
          <w:sz w:val="20"/>
        </w:rPr>
        <w:t>Con fecha 16 de octubre de 2009 se emitió la Pericia Grafotécnica, en la que se concluyó que la firma atribuida al Ingeniero Juan Epifanio Vargas Valverde y que aparece graficada en la Declaración Jurada de Integrantes del Plantel Técnico, no proviene del puño grafico de su titular.</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Textoindependiente"/>
        <w:numPr>
          <w:ilvl w:val="0"/>
          <w:numId w:val="8"/>
        </w:numPr>
        <w:tabs>
          <w:tab w:val="left" w:pos="-2340"/>
        </w:tabs>
        <w:ind w:left="567" w:hanging="567"/>
        <w:rPr>
          <w:rFonts w:cs="Tahoma"/>
          <w:sz w:val="20"/>
        </w:rPr>
      </w:pPr>
      <w:r w:rsidRPr="0099506E">
        <w:rPr>
          <w:rFonts w:cs="Tahoma"/>
          <w:sz w:val="20"/>
        </w:rPr>
        <w:t xml:space="preserve">Mediante Resolución № 200-2009-OSCE/DSE de fecha 22 de noviembre de 2009, la Dirección del Sistema Electrónico de Contrataciones del Estado (SEACE) resolvió: </w:t>
      </w:r>
    </w:p>
    <w:p w:rsidR="0099506E" w:rsidRPr="0099506E" w:rsidRDefault="0099506E" w:rsidP="0099506E">
      <w:pPr>
        <w:pStyle w:val="Prrafodelista"/>
        <w:rPr>
          <w:rFonts w:ascii="Tahoma" w:hAnsi="Tahoma" w:cs="Tahoma"/>
          <w:b/>
          <w:sz w:val="20"/>
          <w:szCs w:val="20"/>
        </w:rPr>
      </w:pPr>
    </w:p>
    <w:p w:rsidR="0099506E" w:rsidRPr="0099506E" w:rsidRDefault="0099506E" w:rsidP="0099506E">
      <w:pPr>
        <w:pStyle w:val="Textoindependiente"/>
        <w:numPr>
          <w:ilvl w:val="0"/>
          <w:numId w:val="21"/>
        </w:numPr>
        <w:tabs>
          <w:tab w:val="left" w:pos="-2340"/>
        </w:tabs>
        <w:rPr>
          <w:rFonts w:cs="Tahoma"/>
          <w:sz w:val="20"/>
        </w:rPr>
      </w:pPr>
      <w:r w:rsidRPr="0099506E">
        <w:rPr>
          <w:rFonts w:cs="Tahoma"/>
          <w:sz w:val="20"/>
        </w:rPr>
        <w:t>Declarar la nulidad de la Resolución de la Subdirección del Registro № 3094/2009-OSCE/SREG, se aprobó la Renovación de Inscripción como Ejecutor de Obras en el Registro Nacional de Proveedores, así como el Certificado de Inscripción № 2047 de fecha 27 de abril de 2010 expedido a favor de la empresa DISTRIBUIDORA CONST Q &amp; P E.I.R.L.</w:t>
      </w:r>
    </w:p>
    <w:p w:rsidR="0099506E" w:rsidRPr="0099506E" w:rsidRDefault="0099506E" w:rsidP="0099506E">
      <w:pPr>
        <w:pStyle w:val="Textoindependiente"/>
        <w:tabs>
          <w:tab w:val="left" w:pos="-2340"/>
        </w:tabs>
        <w:ind w:left="1287"/>
        <w:rPr>
          <w:rFonts w:cs="Tahoma"/>
          <w:sz w:val="20"/>
        </w:rPr>
      </w:pPr>
    </w:p>
    <w:p w:rsidR="0099506E" w:rsidRPr="0099506E" w:rsidRDefault="0099506E" w:rsidP="0099506E">
      <w:pPr>
        <w:pStyle w:val="Textoindependiente"/>
        <w:numPr>
          <w:ilvl w:val="0"/>
          <w:numId w:val="21"/>
        </w:numPr>
        <w:tabs>
          <w:tab w:val="left" w:pos="-2340"/>
        </w:tabs>
        <w:rPr>
          <w:rFonts w:cs="Tahoma"/>
          <w:sz w:val="20"/>
        </w:rPr>
      </w:pPr>
      <w:r w:rsidRPr="0099506E">
        <w:rPr>
          <w:rFonts w:cs="Tahoma"/>
          <w:sz w:val="20"/>
        </w:rPr>
        <w:t>Disponer el inicio de las acciones legales contra la empresa DISTRIBUIDORA CONST Q &amp; P E.I.R.L. y contra todos aquellos que resulten responsables, por la presunta comisión de los delitos contra la función jurisdiccional (falsa declaración en procedimiento administrativo) y contra la fe pública en agravio de OSCE.</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Textoindependiente"/>
        <w:numPr>
          <w:ilvl w:val="0"/>
          <w:numId w:val="21"/>
        </w:numPr>
        <w:tabs>
          <w:tab w:val="left" w:pos="-2340"/>
        </w:tabs>
        <w:rPr>
          <w:rFonts w:cs="Tahoma"/>
          <w:sz w:val="20"/>
        </w:rPr>
      </w:pPr>
      <w:r w:rsidRPr="0099506E">
        <w:rPr>
          <w:rFonts w:cs="Tahoma"/>
          <w:sz w:val="20"/>
        </w:rPr>
        <w:t>Declarar que la empresa DISTRIBUIDORA CONST Q &amp; P E.I.R.L. se encuentra impedida de inscribirse en el Registro Nacional de Proveedores (RNP), durante el periodo de dos (02) años, con arreglo a lo establecido en el tercer párrafo del artículo 9 del Decreto Legislativo № 1017 – Ley de Contrataciones del Estado, concordante con lo dispuesto en el numeral 2 del artículo 259 del Reglamento, aprobado por Decreto Supremo № 184-2008-EF.</w:t>
      </w:r>
    </w:p>
    <w:p w:rsidR="0099506E" w:rsidRPr="0099506E" w:rsidRDefault="0099506E" w:rsidP="0099506E">
      <w:pPr>
        <w:pStyle w:val="Prrafodelista"/>
        <w:rPr>
          <w:rFonts w:ascii="Tahoma" w:hAnsi="Tahoma" w:cs="Tahoma"/>
          <w:b/>
          <w:sz w:val="20"/>
          <w:szCs w:val="20"/>
        </w:rPr>
      </w:pPr>
    </w:p>
    <w:p w:rsidR="0099506E" w:rsidRPr="0099506E" w:rsidRDefault="0099506E" w:rsidP="0099506E">
      <w:pPr>
        <w:pStyle w:val="Textoindependiente"/>
        <w:numPr>
          <w:ilvl w:val="0"/>
          <w:numId w:val="21"/>
        </w:numPr>
        <w:tabs>
          <w:tab w:val="left" w:pos="-2340"/>
        </w:tabs>
        <w:rPr>
          <w:rFonts w:cs="Tahoma"/>
          <w:sz w:val="20"/>
        </w:rPr>
      </w:pPr>
      <w:r w:rsidRPr="0099506E">
        <w:rPr>
          <w:rFonts w:cs="Tahoma"/>
          <w:sz w:val="20"/>
        </w:rPr>
        <w:t xml:space="preserve">Poner la referida resolución en conocimiento del Tribunal de Contrataciones del Estado una vez que se encuentre consentida o firme en sede administrativa, para que dé inicio al procedimiento administrativo sancionador a que hubiere lugar. </w:t>
      </w:r>
    </w:p>
    <w:p w:rsidR="0099506E" w:rsidRPr="0099506E" w:rsidRDefault="0099506E" w:rsidP="0099506E">
      <w:pPr>
        <w:pStyle w:val="Textoindependiente"/>
        <w:tabs>
          <w:tab w:val="left" w:pos="-2340"/>
        </w:tabs>
        <w:ind w:left="567"/>
        <w:rPr>
          <w:rFonts w:cs="Tahoma"/>
          <w:sz w:val="20"/>
        </w:rPr>
      </w:pPr>
    </w:p>
    <w:p w:rsidR="0099506E" w:rsidRPr="0099506E" w:rsidRDefault="0099506E" w:rsidP="0099506E">
      <w:pPr>
        <w:pStyle w:val="Textoindependiente"/>
        <w:numPr>
          <w:ilvl w:val="0"/>
          <w:numId w:val="8"/>
        </w:numPr>
        <w:tabs>
          <w:tab w:val="left" w:pos="-2340"/>
        </w:tabs>
        <w:ind w:left="567" w:hanging="567"/>
        <w:rPr>
          <w:rFonts w:cs="Tahoma"/>
          <w:sz w:val="20"/>
        </w:rPr>
      </w:pPr>
      <w:r w:rsidRPr="0099506E">
        <w:rPr>
          <w:rFonts w:cs="Tahoma"/>
          <w:sz w:val="20"/>
        </w:rPr>
        <w:t>A través del escrito presentado el 26 de enero del 2010, el Proveedor interpuso recurso de reconsideración contra la Resolución № 200-2009-OSCE/DSE de fecha 22 de noviembre de 2009, la misma que se declaró infundada mediante Con Resolución Nº 069-2010-OSCE/DS de fecha 25 de febrero del 2010.</w:t>
      </w:r>
    </w:p>
    <w:p w:rsidR="0099506E" w:rsidRPr="0099506E" w:rsidRDefault="0099506E" w:rsidP="0099506E">
      <w:pPr>
        <w:ind w:left="1287"/>
        <w:jc w:val="both"/>
        <w:rPr>
          <w:rFonts w:ascii="Tahoma" w:hAnsi="Tahoma" w:cs="Tahoma"/>
          <w:sz w:val="20"/>
          <w:szCs w:val="20"/>
        </w:rPr>
      </w:pPr>
    </w:p>
    <w:p w:rsidR="0099506E" w:rsidRPr="0099506E" w:rsidRDefault="0099506E" w:rsidP="0099506E">
      <w:pPr>
        <w:pStyle w:val="Textoindependiente"/>
        <w:numPr>
          <w:ilvl w:val="0"/>
          <w:numId w:val="8"/>
        </w:numPr>
        <w:tabs>
          <w:tab w:val="left" w:pos="-2340"/>
        </w:tabs>
        <w:ind w:left="567" w:hanging="567"/>
        <w:rPr>
          <w:rFonts w:cs="Tahoma"/>
          <w:sz w:val="20"/>
        </w:rPr>
      </w:pPr>
      <w:r w:rsidRPr="0099506E">
        <w:rPr>
          <w:rFonts w:cs="Tahoma"/>
          <w:sz w:val="20"/>
        </w:rPr>
        <w:t>El 14 de enero de 2011, mediante Memorándum № 031-2011/DS-MSH, la Entidad denunció ante el Tribunal de Contrataciones del Estado, en adelante el Tribunal, que el Proveedor había presentado documentos falsos y/o inexactos en el trámite de renovación en el Capitulo de Obras ante el Registro Nacional de Proveedores. Para tal efecto, adjuntó el Informe № 086-2011-SREG/REC de fecha 11 de enero de 2011, mediante el cual manifestó los hechos antes expuestos.</w:t>
      </w:r>
    </w:p>
    <w:p w:rsidR="0099506E" w:rsidRPr="0099506E" w:rsidRDefault="0099506E" w:rsidP="0099506E">
      <w:pPr>
        <w:pStyle w:val="Prrafodelista"/>
        <w:rPr>
          <w:rFonts w:ascii="Tahoma" w:hAnsi="Tahoma" w:cs="Tahoma"/>
          <w:sz w:val="20"/>
          <w:szCs w:val="20"/>
          <w:lang w:val="es-ES_tradnl"/>
        </w:rPr>
      </w:pPr>
    </w:p>
    <w:p w:rsidR="0099506E" w:rsidRPr="0099506E" w:rsidRDefault="0099506E" w:rsidP="0099506E">
      <w:pPr>
        <w:pStyle w:val="Prrafodelista"/>
        <w:numPr>
          <w:ilvl w:val="0"/>
          <w:numId w:val="8"/>
        </w:numPr>
        <w:ind w:left="567" w:hanging="567"/>
        <w:contextualSpacing/>
        <w:jc w:val="both"/>
        <w:rPr>
          <w:rFonts w:ascii="Tahoma" w:hAnsi="Tahoma" w:cs="Tahoma"/>
          <w:sz w:val="20"/>
          <w:szCs w:val="20"/>
        </w:rPr>
      </w:pPr>
      <w:r w:rsidRPr="0099506E">
        <w:rPr>
          <w:rFonts w:ascii="Tahoma" w:hAnsi="Tahoma" w:cs="Tahoma"/>
          <w:sz w:val="20"/>
          <w:szCs w:val="20"/>
        </w:rPr>
        <w:t>Mediante decreto de fecha 27 de septiembre de 2010, notificado el 09 de junio de 2011, el Tribunal inició procedimiento administrativo sancionador contra el Proveedor por su supuesta responsabilidad en la presentación de documentación falsa y/o inexacta ante OSCE, consistente en la Declaración Jurada de Integrantes del Plantel Técnico, supuestamente suscrita por el Ingeniero Juan Epifanio Vargas Valverde, infracción tipificada en el numeral el literal i) del numeral 51.1 del artículo 51 de la Ley en concordancia con el literal i) del numeral 1 del artículo 237 del Reglamento, y lo emplazó para que dentro del plazo de diez (10) días formulase sus descargos, bajo apercibimiento de resolver con la documentación obrante en autos.</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Prrafodelista"/>
        <w:numPr>
          <w:ilvl w:val="0"/>
          <w:numId w:val="8"/>
        </w:numPr>
        <w:ind w:left="567" w:hanging="567"/>
        <w:contextualSpacing/>
        <w:jc w:val="both"/>
        <w:rPr>
          <w:rFonts w:ascii="Tahoma" w:hAnsi="Tahoma" w:cs="Tahoma"/>
          <w:sz w:val="20"/>
          <w:szCs w:val="20"/>
        </w:rPr>
      </w:pPr>
      <w:r w:rsidRPr="0099506E">
        <w:rPr>
          <w:rFonts w:ascii="Tahoma" w:hAnsi="Tahoma" w:cs="Tahoma"/>
          <w:sz w:val="20"/>
          <w:szCs w:val="20"/>
        </w:rPr>
        <w:t>Habiendo transcurrido el plazo otorgado, sin que el Proveedor cumpliera con presentar sus descargos respectivos, con decreto de fecha 30 de junio de 2011, previa razón de Secretaria del Tribunal, se hizo efectivo el apercibimiento de resolver con la documentación obrante en autos y se remitió el presente expediente a la Primera Sala del Tribunal para que resuelva.</w:t>
      </w:r>
    </w:p>
    <w:p w:rsidR="00F31A7A" w:rsidRPr="0099506E" w:rsidRDefault="00F31A7A" w:rsidP="00F31A7A">
      <w:pPr>
        <w:jc w:val="both"/>
        <w:rPr>
          <w:rFonts w:ascii="Tahoma" w:hAnsi="Tahoma" w:cs="Tahoma"/>
          <w:sz w:val="20"/>
          <w:szCs w:val="20"/>
        </w:rPr>
      </w:pPr>
    </w:p>
    <w:p w:rsidR="00F31A7A" w:rsidRPr="0099506E" w:rsidRDefault="00F31A7A" w:rsidP="00F31A7A">
      <w:pPr>
        <w:pStyle w:val="Textoindependiente"/>
        <w:tabs>
          <w:tab w:val="left" w:pos="-2340"/>
          <w:tab w:val="left" w:pos="567"/>
        </w:tabs>
        <w:ind w:left="567" w:hanging="567"/>
        <w:rPr>
          <w:rFonts w:cs="Tahoma"/>
          <w:b/>
          <w:shadow/>
          <w:sz w:val="20"/>
        </w:rPr>
      </w:pPr>
      <w:r w:rsidRPr="0099506E">
        <w:rPr>
          <w:rFonts w:cs="Tahoma"/>
          <w:b/>
          <w:shadow/>
          <w:sz w:val="20"/>
        </w:rPr>
        <w:t>FUNDAMENTACIÓN:</w:t>
      </w:r>
      <w:r w:rsidRPr="0099506E">
        <w:rPr>
          <w:rFonts w:cs="Tahoma"/>
          <w:b/>
          <w:shadow/>
          <w:sz w:val="20"/>
        </w:rPr>
        <w:tab/>
      </w:r>
    </w:p>
    <w:p w:rsidR="00F31A7A" w:rsidRPr="0099506E" w:rsidRDefault="00F31A7A" w:rsidP="00F31A7A">
      <w:pPr>
        <w:rPr>
          <w:rFonts w:ascii="Tahoma" w:hAnsi="Tahoma" w:cs="Tahoma"/>
          <w:sz w:val="20"/>
          <w:szCs w:val="20"/>
        </w:rPr>
      </w:pPr>
      <w:r w:rsidRPr="0099506E">
        <w:rPr>
          <w:rFonts w:ascii="Tahoma" w:hAnsi="Tahoma" w:cs="Tahoma"/>
          <w:sz w:val="20"/>
          <w:szCs w:val="20"/>
        </w:rPr>
        <w:t xml:space="preserve"> </w:t>
      </w: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99506E" w:rsidRPr="0099506E" w:rsidRDefault="0099506E" w:rsidP="0099506E">
      <w:pPr>
        <w:pStyle w:val="Prrafodelista"/>
        <w:tabs>
          <w:tab w:val="num" w:pos="567"/>
        </w:tabs>
        <w:ind w:left="567" w:hanging="567"/>
        <w:jc w:val="both"/>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99506E">
        <w:rPr>
          <w:rFonts w:ascii="Tahoma" w:hAnsi="Tahoma" w:cs="Tahoma"/>
          <w:sz w:val="20"/>
          <w:szCs w:val="20"/>
          <w:lang w:val="es-MX"/>
        </w:rPr>
        <w:t>51 y 52 de la Ley de Contrataciones del Estado,</w:t>
      </w:r>
      <w:r w:rsidRPr="0099506E">
        <w:rPr>
          <w:rFonts w:ascii="Tahoma" w:hAnsi="Tahoma" w:cs="Tahoma"/>
          <w:sz w:val="20"/>
          <w:szCs w:val="20"/>
        </w:rPr>
        <w:t xml:space="preserve"> aprobada mediante Decreto Legislativo № 1017,</w:t>
      </w:r>
      <w:r w:rsidRPr="0099506E">
        <w:rPr>
          <w:rFonts w:ascii="Tahoma" w:hAnsi="Tahoma" w:cs="Tahoma"/>
          <w:sz w:val="20"/>
          <w:szCs w:val="20"/>
          <w:lang w:val="es-MX"/>
        </w:rPr>
        <w:t xml:space="preserve"> </w:t>
      </w:r>
      <w:r w:rsidRPr="0099506E">
        <w:rPr>
          <w:rFonts w:ascii="Tahoma" w:hAnsi="Tahoma" w:cs="Tahoma"/>
          <w:sz w:val="20"/>
          <w:szCs w:val="20"/>
        </w:rPr>
        <w:t>norma aplicable al momento de la presunta comisión de la infracción</w:t>
      </w:r>
      <w:r w:rsidRPr="0099506E">
        <w:rPr>
          <w:rFonts w:ascii="Tahoma" w:hAnsi="Tahoma" w:cs="Tahoma"/>
          <w:sz w:val="20"/>
          <w:szCs w:val="20"/>
          <w:lang w:val="es-MX"/>
        </w:rPr>
        <w:t xml:space="preserve">, y en los casos expresamente previstos en el artículo 237 de su Reglamento, aprobado mediante Decreto Supremo </w:t>
      </w:r>
      <w:r w:rsidRPr="0099506E">
        <w:rPr>
          <w:rFonts w:ascii="Tahoma" w:hAnsi="Tahoma" w:cs="Tahoma"/>
          <w:sz w:val="20"/>
          <w:szCs w:val="20"/>
        </w:rPr>
        <w:t xml:space="preserve">№ 184-2008-EF, </w:t>
      </w:r>
      <w:r w:rsidRPr="0099506E">
        <w:rPr>
          <w:rFonts w:ascii="Tahoma" w:hAnsi="Tahoma" w:cs="Tahoma"/>
          <w:sz w:val="20"/>
          <w:szCs w:val="20"/>
          <w:lang w:val="es-MX"/>
        </w:rPr>
        <w:t>sin perjuicio de las acciones legales que correspondan adoptar a la Entidades, dentro de sus respectivas atribuciones, en salvaguarda de sus intereses</w:t>
      </w:r>
      <w:r w:rsidRPr="0099506E">
        <w:rPr>
          <w:rFonts w:ascii="Tahoma" w:hAnsi="Tahoma" w:cs="Tahoma"/>
          <w:sz w:val="20"/>
          <w:szCs w:val="20"/>
        </w:rPr>
        <w:t>.</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El presente procedimiento administrativo sancionador ha sido iniciado a causa de la imputación formulada contra el Proveedor referida a la presentación de documentación falsa y/o inexacta durante el trámite de su renovación como Ejecutor de Obras ante el Registro Nacional de Proveedores del OSCE, infracción tipificada en el literal i) del numeral 51.1 del artículo 51 de la Ley en concordancia con el literal i) del numeral 1 del artículo 237 del Reglamento, norma vigente al suscitarse los hechos.</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 xml:space="preserve">Al respecto, </w:t>
      </w:r>
      <w:r w:rsidRPr="0099506E">
        <w:rPr>
          <w:rFonts w:ascii="Tahoma" w:hAnsi="Tahoma" w:cs="Tahoma"/>
          <w:sz w:val="20"/>
          <w:szCs w:val="20"/>
          <w:lang w:val="es-MX" w:eastAsia="ja-JP"/>
        </w:rPr>
        <w:t xml:space="preserve">el literal i) del numeral 51.1 del artículo 51 de la Ley, </w:t>
      </w:r>
      <w:r w:rsidRPr="0099506E">
        <w:rPr>
          <w:rFonts w:ascii="Tahoma" w:hAnsi="Tahoma" w:cs="Tahoma"/>
          <w:sz w:val="20"/>
          <w:szCs w:val="20"/>
        </w:rPr>
        <w:t>establece que serán sancionados aquellos postores que presenten documentos falsos o información inexacta a las Entidades, al Tribunal o al OSCE.</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 xml:space="preserve">En primer lugar, debe tenerse presente que, la infracción imputada al Proveedor se configura con la sola presentación de documentos falsos y/o inexactos ante la Entidad o </w:t>
      </w:r>
      <w:r w:rsidRPr="0099506E">
        <w:rPr>
          <w:rFonts w:ascii="Tahoma" w:hAnsi="Tahoma" w:cs="Tahoma"/>
          <w:sz w:val="20"/>
          <w:szCs w:val="20"/>
        </w:rPr>
        <w:lastRenderedPageBreak/>
        <w:t xml:space="preserve">al OSCE, es decir con la sola afectación del </w:t>
      </w:r>
      <w:r w:rsidRPr="0099506E">
        <w:rPr>
          <w:rFonts w:ascii="Tahoma" w:hAnsi="Tahoma" w:cs="Tahoma"/>
          <w:i/>
          <w:sz w:val="20"/>
          <w:szCs w:val="20"/>
        </w:rPr>
        <w:t>Principio de Presunción de Veracidad</w:t>
      </w:r>
      <w:r w:rsidRPr="0099506E">
        <w:rPr>
          <w:rStyle w:val="Refdenotaalpie"/>
          <w:rFonts w:ascii="Tahoma" w:hAnsi="Tahoma" w:cs="Tahoma"/>
          <w:sz w:val="20"/>
          <w:szCs w:val="20"/>
        </w:rPr>
        <w:footnoteReference w:id="2"/>
      </w:r>
      <w:r w:rsidRPr="0099506E">
        <w:rPr>
          <w:rFonts w:ascii="Tahoma" w:hAnsi="Tahoma" w:cs="Tahoma"/>
          <w:sz w:val="20"/>
          <w:szCs w:val="20"/>
        </w:rPr>
        <w:t xml:space="preserve"> consagrado en el acápite 1.7 del Artículo IV del Título Preliminar de la Ley № 27444, del Procedimiento Administrativo General, sin que la norma exija otros factores adicionales, por cuanto la Administración Pública presume que todos los documentos y declaraciones formuladas por los administrados responden a la verdad de los hechos que ellos afirman.</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 xml:space="preserve">Por otro lado, el literal c) del artículo 42 del Reglamento establece que los postores y/o contratistas </w:t>
      </w:r>
      <w:r w:rsidRPr="0099506E">
        <w:rPr>
          <w:rFonts w:ascii="Tahoma" w:hAnsi="Tahoma" w:cs="Tahoma"/>
          <w:b/>
          <w:sz w:val="20"/>
          <w:szCs w:val="20"/>
        </w:rPr>
        <w:t>son responsables de la veracidad de los documentos e información que presentan para efectos de un proceso de selección determinado</w:t>
      </w:r>
      <w:r w:rsidRPr="0099506E">
        <w:rPr>
          <w:rFonts w:ascii="Tahoma" w:hAnsi="Tahoma" w:cs="Tahoma"/>
          <w:sz w:val="20"/>
          <w:szCs w:val="20"/>
        </w:rPr>
        <w:t>.</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 xml:space="preserve">Asimismo, </w:t>
      </w:r>
      <w:r w:rsidRPr="0099506E">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99506E">
        <w:rPr>
          <w:rFonts w:ascii="Tahoma" w:hAnsi="Tahoma" w:cs="Tahoma"/>
          <w:b/>
          <w:sz w:val="20"/>
          <w:szCs w:val="20"/>
          <w:lang w:val="es-MX"/>
        </w:rPr>
        <w:t>se presumen verificados por quien hace uso de ellos, así como de contenido veraz para fines del procedimiento administrativo</w:t>
      </w:r>
      <w:r w:rsidRPr="0099506E">
        <w:rPr>
          <w:rFonts w:ascii="Tahoma" w:hAnsi="Tahoma" w:cs="Tahoma"/>
          <w:sz w:val="20"/>
          <w:szCs w:val="20"/>
          <w:lang w:val="es-MX"/>
        </w:rPr>
        <w:t xml:space="preserve">. Sin embargo, esta presunción es de índole </w:t>
      </w:r>
      <w:r w:rsidRPr="0099506E">
        <w:rPr>
          <w:rFonts w:ascii="Tahoma" w:hAnsi="Tahoma" w:cs="Tahoma"/>
          <w:i/>
          <w:sz w:val="20"/>
          <w:szCs w:val="20"/>
          <w:lang w:val="es-MX"/>
        </w:rPr>
        <w:t>juris tantum</w:t>
      </w:r>
      <w:r w:rsidRPr="0099506E">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Ahora bien, para la configuración del supuesto de presentación de documentación falsa, se requiere previamente acreditar su falsedad, esto es que el documento o los documentos cuestionados no hayan sido expedidos por el órgano emisor o que, siendo válidamente expedidos, hayan sido adulterados en su contenido.</w:t>
      </w:r>
    </w:p>
    <w:p w:rsidR="0099506E" w:rsidRPr="0099506E" w:rsidRDefault="0099506E" w:rsidP="0099506E">
      <w:pPr>
        <w:pStyle w:val="Prrafodelista"/>
        <w:rPr>
          <w:rFonts w:ascii="Tahoma" w:hAnsi="Tahoma" w:cs="Tahoma"/>
          <w:sz w:val="20"/>
          <w:szCs w:val="20"/>
        </w:rPr>
      </w:pPr>
    </w:p>
    <w:p w:rsidR="0099506E" w:rsidRPr="0099506E" w:rsidRDefault="0099506E" w:rsidP="0099506E">
      <w:pPr>
        <w:pStyle w:val="Sangradetextonormal"/>
        <w:tabs>
          <w:tab w:val="left" w:pos="0"/>
        </w:tabs>
        <w:spacing w:after="0"/>
        <w:ind w:left="567"/>
        <w:jc w:val="both"/>
        <w:rPr>
          <w:rFonts w:ascii="Tahoma" w:hAnsi="Tahoma" w:cs="Tahoma"/>
          <w:sz w:val="20"/>
          <w:szCs w:val="20"/>
        </w:rPr>
      </w:pPr>
      <w:r w:rsidRPr="0099506E">
        <w:rPr>
          <w:rFonts w:ascii="Tahoma" w:hAnsi="Tahoma" w:cs="Tahoma"/>
          <w:sz w:val="20"/>
          <w:szCs w:val="20"/>
        </w:rPr>
        <w:t xml:space="preserve">Por otro lado, la información inexacta se configura con la presentación de declaraciones no concordantes con la realidad, a través del quebrantamiento de los </w:t>
      </w:r>
      <w:r w:rsidRPr="0099506E">
        <w:rPr>
          <w:rFonts w:ascii="Tahoma" w:hAnsi="Tahoma" w:cs="Tahoma"/>
          <w:i/>
          <w:sz w:val="20"/>
          <w:szCs w:val="20"/>
        </w:rPr>
        <w:t>Principios de Presunción de Veracidad</w:t>
      </w:r>
      <w:r w:rsidRPr="0099506E">
        <w:rPr>
          <w:rFonts w:ascii="Tahoma" w:hAnsi="Tahoma" w:cs="Tahoma"/>
          <w:sz w:val="20"/>
          <w:szCs w:val="20"/>
        </w:rPr>
        <w:t xml:space="preserve"> y </w:t>
      </w:r>
      <w:r w:rsidRPr="0099506E">
        <w:rPr>
          <w:rFonts w:ascii="Tahoma" w:hAnsi="Tahoma" w:cs="Tahoma"/>
          <w:i/>
          <w:sz w:val="20"/>
          <w:szCs w:val="20"/>
        </w:rPr>
        <w:t xml:space="preserve">Moralidad </w:t>
      </w:r>
      <w:r w:rsidRPr="0099506E">
        <w:rPr>
          <w:rFonts w:ascii="Tahoma" w:hAnsi="Tahoma" w:cs="Tahoma"/>
          <w:sz w:val="20"/>
          <w:szCs w:val="20"/>
        </w:rPr>
        <w:t>que amparan a las referidas declaraciones.</w:t>
      </w:r>
    </w:p>
    <w:p w:rsidR="0099506E" w:rsidRPr="0099506E" w:rsidRDefault="0099506E" w:rsidP="0099506E">
      <w:pPr>
        <w:pStyle w:val="Prrafodelista"/>
        <w:jc w:val="both"/>
        <w:rPr>
          <w:rFonts w:ascii="Tahoma" w:hAnsi="Tahoma" w:cs="Tahoma"/>
          <w:sz w:val="20"/>
          <w:szCs w:val="20"/>
          <w:lang w:val="es-ES_tradnl"/>
        </w:rPr>
      </w:pPr>
    </w:p>
    <w:p w:rsidR="0099506E" w:rsidRPr="0099506E" w:rsidRDefault="0099506E" w:rsidP="0099506E">
      <w:pPr>
        <w:numPr>
          <w:ilvl w:val="0"/>
          <w:numId w:val="19"/>
        </w:numPr>
        <w:tabs>
          <w:tab w:val="clear" w:pos="360"/>
          <w:tab w:val="num" w:pos="0"/>
        </w:tabs>
        <w:ind w:left="567" w:hanging="567"/>
        <w:jc w:val="both"/>
        <w:rPr>
          <w:rFonts w:ascii="Tahoma" w:hAnsi="Tahoma" w:cs="Tahoma"/>
          <w:sz w:val="20"/>
          <w:szCs w:val="20"/>
        </w:rPr>
      </w:pPr>
      <w:r w:rsidRPr="0099506E">
        <w:rPr>
          <w:rFonts w:ascii="Tahoma" w:hAnsi="Tahoma" w:cs="Tahoma"/>
          <w:sz w:val="20"/>
          <w:szCs w:val="20"/>
        </w:rPr>
        <w:t>En el caso materia de análisis, la imputación contra el Proveedor está referida a que éste habría presentado en su trámite de renovación de inscripción como Ejecutor de Obras ante la Entidad, un documento falso y/o inexacto, consistente en la Declaración Jurada de Integrantes del Plantel Técnico, supuestamente suscrita por el Ingeniero Juan Epifanio Vargas Valverde.</w:t>
      </w:r>
    </w:p>
    <w:p w:rsidR="0099506E" w:rsidRPr="0099506E" w:rsidRDefault="0099506E" w:rsidP="0099506E">
      <w:pPr>
        <w:ind w:left="567"/>
        <w:jc w:val="both"/>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Conforme a lo expuesto, corresponde al Tribunal pronunciarse respecto de la validez del documento cuestionado, a fin de verificar si resulta procedente imponer al Proveedor la sanción administrativa que el Reglamento ha previsto para estos casos.</w:t>
      </w:r>
    </w:p>
    <w:p w:rsidR="0099506E" w:rsidRPr="0099506E" w:rsidRDefault="0099506E" w:rsidP="0099506E">
      <w:pPr>
        <w:jc w:val="both"/>
        <w:rPr>
          <w:rFonts w:ascii="Tahoma" w:hAnsi="Tahoma" w:cs="Tahoma"/>
          <w:sz w:val="20"/>
          <w:szCs w:val="20"/>
        </w:rPr>
      </w:pPr>
    </w:p>
    <w:p w:rsidR="0099506E" w:rsidRPr="0099506E" w:rsidRDefault="0099506E" w:rsidP="0099506E">
      <w:pPr>
        <w:numPr>
          <w:ilvl w:val="0"/>
          <w:numId w:val="19"/>
        </w:numPr>
        <w:tabs>
          <w:tab w:val="clear" w:pos="360"/>
          <w:tab w:val="num" w:pos="0"/>
        </w:tabs>
        <w:ind w:left="567" w:hanging="567"/>
        <w:jc w:val="both"/>
        <w:rPr>
          <w:rFonts w:ascii="Tahoma" w:hAnsi="Tahoma" w:cs="Tahoma"/>
          <w:sz w:val="20"/>
          <w:szCs w:val="20"/>
        </w:rPr>
      </w:pPr>
      <w:r w:rsidRPr="0099506E">
        <w:rPr>
          <w:rFonts w:ascii="Tahoma" w:hAnsi="Tahoma" w:cs="Tahoma"/>
          <w:sz w:val="20"/>
          <w:szCs w:val="20"/>
        </w:rPr>
        <w:t>Al respecto, y en base a la documentación obrante en autos, se ha verificado que el Proveedor presentó, ante la Entidad la Declaración Jurada de Integrantes del Plantel Técnico, supuestamente firmado por el Ingeniero Juan Epifanio Vargas Valverde, documento obrante a folios 005 del expediente administrativo.</w:t>
      </w:r>
    </w:p>
    <w:p w:rsidR="0099506E" w:rsidRPr="0099506E" w:rsidRDefault="0099506E" w:rsidP="0099506E">
      <w:pPr>
        <w:pStyle w:val="Prrafodelista"/>
        <w:rPr>
          <w:rFonts w:ascii="Tahoma" w:hAnsi="Tahoma" w:cs="Tahoma"/>
          <w:sz w:val="20"/>
          <w:szCs w:val="20"/>
          <w:lang w:eastAsia="en-US"/>
        </w:rPr>
      </w:pPr>
    </w:p>
    <w:p w:rsidR="0099506E" w:rsidRPr="0099506E" w:rsidRDefault="0099506E" w:rsidP="0099506E">
      <w:pPr>
        <w:numPr>
          <w:ilvl w:val="0"/>
          <w:numId w:val="19"/>
        </w:numPr>
        <w:tabs>
          <w:tab w:val="clear" w:pos="360"/>
          <w:tab w:val="num" w:pos="0"/>
        </w:tabs>
        <w:ind w:left="567" w:hanging="567"/>
        <w:jc w:val="both"/>
        <w:rPr>
          <w:rFonts w:ascii="Tahoma" w:hAnsi="Tahoma" w:cs="Tahoma"/>
          <w:sz w:val="20"/>
          <w:szCs w:val="20"/>
        </w:rPr>
      </w:pPr>
      <w:r w:rsidRPr="0099506E">
        <w:rPr>
          <w:rFonts w:ascii="Tahoma" w:hAnsi="Tahoma" w:cs="Tahoma"/>
          <w:sz w:val="20"/>
          <w:szCs w:val="20"/>
          <w:lang w:eastAsia="en-US"/>
        </w:rPr>
        <w:t xml:space="preserve">Fluye de los antecedentes administrativos, que la imputación se sustenta en la información remitida a través de la Carta s/n presentada el 07 de septiembre de 2009, mediante la cual el Ingeniero Juan Epifanio Vargas Valverde manifestó, entre otros aspectos, lo siguiente: </w:t>
      </w:r>
      <w:r w:rsidRPr="0099506E">
        <w:rPr>
          <w:rFonts w:ascii="Tahoma" w:hAnsi="Tahoma" w:cs="Tahoma"/>
          <w:i/>
          <w:sz w:val="20"/>
          <w:szCs w:val="20"/>
        </w:rPr>
        <w:t>« (…) a la fecha no me encuentro laborando como miembro del plantel técnico de la empresa DISTRIBUIDORA CONST Q &amp; P E.I.R.L. (…) niego la veracidad del contenido y firma consignada en la Declaración Jurada de integrantes del Plantel Técnico presentada por la mencionada empresa»</w:t>
      </w:r>
      <w:r w:rsidRPr="0099506E">
        <w:rPr>
          <w:rFonts w:ascii="Tahoma" w:hAnsi="Tahoma" w:cs="Tahoma"/>
          <w:sz w:val="20"/>
          <w:szCs w:val="20"/>
          <w:lang w:eastAsia="en-US"/>
        </w:rPr>
        <w:t xml:space="preserve"> (el resaltado es nuestro).</w:t>
      </w:r>
    </w:p>
    <w:p w:rsidR="0099506E" w:rsidRPr="0099506E" w:rsidRDefault="0099506E" w:rsidP="0099506E">
      <w:pPr>
        <w:pStyle w:val="Prrafodelista"/>
        <w:rPr>
          <w:rFonts w:ascii="Tahoma" w:hAnsi="Tahoma" w:cs="Tahoma"/>
          <w:sz w:val="20"/>
          <w:szCs w:val="20"/>
        </w:rPr>
      </w:pPr>
    </w:p>
    <w:p w:rsidR="0099506E" w:rsidRPr="0099506E" w:rsidRDefault="0099506E" w:rsidP="0099506E">
      <w:pPr>
        <w:numPr>
          <w:ilvl w:val="0"/>
          <w:numId w:val="19"/>
        </w:numPr>
        <w:tabs>
          <w:tab w:val="clear" w:pos="360"/>
          <w:tab w:val="num" w:pos="0"/>
        </w:tabs>
        <w:ind w:left="567" w:hanging="567"/>
        <w:jc w:val="both"/>
        <w:rPr>
          <w:rFonts w:ascii="Tahoma" w:hAnsi="Tahoma" w:cs="Tahoma"/>
          <w:sz w:val="20"/>
          <w:szCs w:val="20"/>
        </w:rPr>
      </w:pPr>
      <w:r w:rsidRPr="0099506E">
        <w:rPr>
          <w:rFonts w:ascii="Tahoma" w:hAnsi="Tahoma" w:cs="Tahoma"/>
          <w:sz w:val="20"/>
          <w:szCs w:val="20"/>
        </w:rPr>
        <w:t xml:space="preserve">Ahora bien, en mérito de la comunicación remitida por el supuesto agente emisor de los documentos cuestionados y en aplicación del Principio de Verdad Material previsto en el numeral 1.11 del artículo IV del Título Preliminar de la Ley 27444, la Entidad dispuso la realización de una pericia grafotécnica sobre la supuesta firma consignada en la Declaración Jurada de Integrantes del Plantes Técnico. En tal sentido, </w:t>
      </w:r>
      <w:r w:rsidRPr="0099506E">
        <w:rPr>
          <w:rFonts w:ascii="Tahoma" w:hAnsi="Tahoma" w:cs="Tahoma"/>
          <w:sz w:val="20"/>
          <w:szCs w:val="20"/>
          <w:u w:val="single"/>
        </w:rPr>
        <w:t>con fecha 16 de octubre de 2009, se emitió la Pericia Grafotécnica</w:t>
      </w:r>
      <w:r w:rsidRPr="0099506E">
        <w:rPr>
          <w:rStyle w:val="Refdenotaalpie"/>
          <w:rFonts w:ascii="Tahoma" w:hAnsi="Tahoma" w:cs="Tahoma"/>
          <w:sz w:val="20"/>
          <w:szCs w:val="20"/>
          <w:u w:val="single"/>
        </w:rPr>
        <w:footnoteReference w:id="3"/>
      </w:r>
      <w:r w:rsidRPr="0099506E">
        <w:rPr>
          <w:rFonts w:ascii="Tahoma" w:hAnsi="Tahoma" w:cs="Tahoma"/>
          <w:sz w:val="20"/>
          <w:szCs w:val="20"/>
          <w:u w:val="single"/>
        </w:rPr>
        <w:t xml:space="preserve">, en la que se concluyó que la firma atribuida al Ingeniero Juan Epifanio Vargas Valverde y que aparece graficada en la Declaración Jurada de Integrantes del Plantel Técnico, </w:t>
      </w:r>
      <w:r w:rsidRPr="0099506E">
        <w:rPr>
          <w:rFonts w:ascii="Tahoma" w:hAnsi="Tahoma" w:cs="Tahoma"/>
          <w:i/>
          <w:sz w:val="20"/>
          <w:szCs w:val="20"/>
          <w:u w:val="single"/>
        </w:rPr>
        <w:t>no proviene del puño grafico de su titular</w:t>
      </w:r>
      <w:r w:rsidRPr="0099506E">
        <w:rPr>
          <w:rFonts w:ascii="Tahoma" w:hAnsi="Tahoma" w:cs="Tahoma"/>
          <w:sz w:val="20"/>
          <w:szCs w:val="20"/>
        </w:rPr>
        <w:t>.(el subrayado es nuestro).</w:t>
      </w:r>
    </w:p>
    <w:p w:rsidR="0099506E" w:rsidRPr="0099506E" w:rsidRDefault="0099506E" w:rsidP="0099506E">
      <w:pPr>
        <w:ind w:left="567"/>
        <w:jc w:val="both"/>
        <w:rPr>
          <w:rFonts w:ascii="Tahoma" w:hAnsi="Tahoma" w:cs="Tahoma"/>
          <w:sz w:val="20"/>
          <w:szCs w:val="20"/>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Sobre la base de lo expuesto, en virtud al derecho de defensa que ampara al administrado, el Proveedor no ha presentado argumentos y/o documentación adicional que permitan justificar su conducta que está inmersa en infracción, a pesar de haber sido debidamente notificado mediante Cedula de Notificación № 14033/2011.TC., según constancia que obra en autos.</w:t>
      </w:r>
    </w:p>
    <w:p w:rsidR="0099506E" w:rsidRPr="0099506E" w:rsidRDefault="0099506E" w:rsidP="0099506E">
      <w:pPr>
        <w:pStyle w:val="Prrafodelista"/>
        <w:rPr>
          <w:rFonts w:ascii="Tahoma" w:hAnsi="Tahoma" w:cs="Tahoma"/>
          <w:sz w:val="20"/>
          <w:szCs w:val="20"/>
          <w:lang w:eastAsia="en-US"/>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lang w:eastAsia="en-US"/>
        </w:rPr>
        <w:t>En ese sentido, al haberse verificado de la documentación obrante en autos que el Proveedor, a efectos de formalizar su trámite de renovación de inscripción como Ejecutor de Obras presentó al RNP, entre otros documentos, una Declaración Jurada de Integrantes del Plantel Técnico,</w:t>
      </w:r>
      <w:r w:rsidRPr="0099506E">
        <w:rPr>
          <w:rFonts w:ascii="Tahoma" w:hAnsi="Tahoma" w:cs="Tahoma"/>
          <w:b/>
          <w:sz w:val="20"/>
          <w:szCs w:val="20"/>
          <w:lang w:eastAsia="en-US"/>
        </w:rPr>
        <w:t xml:space="preserve"> </w:t>
      </w:r>
      <w:r w:rsidRPr="0099506E">
        <w:rPr>
          <w:rFonts w:ascii="Tahoma" w:hAnsi="Tahoma" w:cs="Tahoma"/>
          <w:sz w:val="20"/>
          <w:szCs w:val="20"/>
          <w:lang w:eastAsia="en-US"/>
        </w:rPr>
        <w:t xml:space="preserve">documento falso, tal como se ha podido constatar de la información proporcionada por el referido Ingeniero Juan Epifanio Vargas Valverde (supuesto suscriptor del documento cuestionado), así como de la pericia grafotécnica practicada; queda acreditada la transgresión al </w:t>
      </w:r>
      <w:r w:rsidRPr="0099506E">
        <w:rPr>
          <w:rFonts w:ascii="Tahoma" w:hAnsi="Tahoma" w:cs="Tahoma"/>
          <w:i/>
          <w:sz w:val="20"/>
          <w:szCs w:val="20"/>
          <w:lang w:eastAsia="en-US"/>
        </w:rPr>
        <w:t xml:space="preserve">Principio de Presunción de Veracidad </w:t>
      </w:r>
      <w:r w:rsidRPr="0099506E">
        <w:rPr>
          <w:rFonts w:ascii="Tahoma" w:hAnsi="Tahoma" w:cs="Tahoma"/>
          <w:sz w:val="20"/>
          <w:szCs w:val="20"/>
          <w:lang w:eastAsia="en-US"/>
        </w:rPr>
        <w:t xml:space="preserve">en la que incurrió el Proveedor. </w:t>
      </w:r>
      <w:r w:rsidRPr="0099506E">
        <w:rPr>
          <w:rFonts w:ascii="Tahoma" w:hAnsi="Tahoma" w:cs="Tahoma"/>
          <w:sz w:val="20"/>
          <w:szCs w:val="20"/>
        </w:rPr>
        <w:t xml:space="preserve">En este sentido, y tal como ha sido establecido por el Tribunal en sendas resoluciones, para que se configure la infracción de presentación de documentación </w:t>
      </w:r>
      <w:r w:rsidRPr="0099506E">
        <w:rPr>
          <w:rFonts w:ascii="Tahoma" w:hAnsi="Tahoma" w:cs="Tahoma"/>
          <w:b/>
          <w:sz w:val="20"/>
          <w:szCs w:val="20"/>
        </w:rPr>
        <w:t xml:space="preserve">falsa </w:t>
      </w:r>
      <w:r w:rsidRPr="0099506E">
        <w:rPr>
          <w:rFonts w:ascii="Tahoma" w:hAnsi="Tahoma" w:cs="Tahoma"/>
          <w:b/>
          <w:shadow/>
          <w:sz w:val="20"/>
          <w:szCs w:val="20"/>
        </w:rPr>
        <w:t>se requiere acreditar que éste no haya sido expedido por el órgano o agente emisor correspondiente</w:t>
      </w:r>
      <w:r w:rsidRPr="0099506E">
        <w:rPr>
          <w:rFonts w:ascii="Tahoma" w:hAnsi="Tahoma" w:cs="Tahoma"/>
          <w:b/>
          <w:sz w:val="20"/>
          <w:szCs w:val="20"/>
        </w:rPr>
        <w:t xml:space="preserve"> o que siendo válidamente expedido haya sido adulterado en su contenido</w:t>
      </w:r>
      <w:r w:rsidRPr="0099506E">
        <w:rPr>
          <w:rFonts w:ascii="Tahoma" w:hAnsi="Tahoma" w:cs="Tahoma"/>
          <w:sz w:val="20"/>
          <w:szCs w:val="20"/>
        </w:rPr>
        <w:t>, lo cual en el presente caso se ha producido.</w:t>
      </w:r>
    </w:p>
    <w:p w:rsidR="0099506E" w:rsidRPr="0099506E" w:rsidRDefault="0099506E" w:rsidP="0099506E">
      <w:pPr>
        <w:pStyle w:val="Prrafodelista"/>
        <w:rPr>
          <w:rFonts w:ascii="Tahoma" w:hAnsi="Tahoma" w:cs="Tahoma"/>
          <w:sz w:val="20"/>
          <w:szCs w:val="20"/>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En consecuencia, y conforme al criterio uniforme del Tribunal, siendo evidente las pruebas materiales contenidas en el expediente administrativo, se ha verificado la existencia de un innegable vínculo entre el imputado y la conducta prevista en la norma como infracción. Por este motivo, debe concluirse que la infracción se ha cometido y que su autor ha sido el Proveedor.</w:t>
      </w:r>
    </w:p>
    <w:p w:rsidR="0099506E" w:rsidRPr="0099506E" w:rsidRDefault="0099506E" w:rsidP="0099506E">
      <w:pPr>
        <w:pStyle w:val="Prrafodelista"/>
        <w:rPr>
          <w:rFonts w:ascii="Tahoma" w:hAnsi="Tahoma" w:cs="Tahoma"/>
          <w:sz w:val="20"/>
          <w:szCs w:val="20"/>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lastRenderedPageBreak/>
        <w:t xml:space="preserve">Por lo expuesto, este Colegiado considera que en el presente caso se ha configurado la infracción tipificada </w:t>
      </w:r>
      <w:r w:rsidRPr="0099506E">
        <w:rPr>
          <w:rFonts w:ascii="Tahoma" w:hAnsi="Tahoma" w:cs="Tahoma"/>
          <w:bCs/>
          <w:sz w:val="20"/>
          <w:szCs w:val="20"/>
        </w:rPr>
        <w:t xml:space="preserve">en el </w:t>
      </w:r>
      <w:r w:rsidRPr="0099506E">
        <w:rPr>
          <w:rFonts w:ascii="Tahoma" w:hAnsi="Tahoma" w:cs="Tahoma"/>
          <w:sz w:val="20"/>
          <w:szCs w:val="20"/>
        </w:rPr>
        <w:t xml:space="preserve">literal i) del numeral 51.1 del artículo 51 de la Ley, en concordancia con el literal i) numeral 1 del artículo 237 de su Reglamento y, consecuentemente, existe mérito suficiente para imponer la correspondiente sanción administrativa. </w:t>
      </w:r>
    </w:p>
    <w:p w:rsidR="0099506E" w:rsidRPr="0099506E" w:rsidRDefault="0099506E" w:rsidP="008B483F">
      <w:pPr>
        <w:pStyle w:val="Prrafodelista"/>
        <w:tabs>
          <w:tab w:val="num" w:pos="567"/>
        </w:tabs>
        <w:rPr>
          <w:rFonts w:ascii="Tahoma" w:eastAsia="Calibri" w:hAnsi="Tahoma" w:cs="Tahoma"/>
          <w:sz w:val="20"/>
          <w:szCs w:val="20"/>
          <w:lang w:eastAsia="en-US"/>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eastAsia="Calibri" w:hAnsi="Tahoma" w:cs="Tahoma"/>
          <w:sz w:val="20"/>
          <w:szCs w:val="20"/>
          <w:lang w:eastAsia="en-US"/>
        </w:rPr>
        <w:t xml:space="preserve">No obstante ello, de manera previa, corresponde determinar si resulta procedente que el Tribunal imponga al Proveedor la sanción administrativa de inhabilitación </w:t>
      </w:r>
      <w:r w:rsidRPr="0099506E">
        <w:rPr>
          <w:rFonts w:ascii="Tahoma" w:hAnsi="Tahoma" w:cs="Tahoma"/>
          <w:sz w:val="20"/>
          <w:szCs w:val="20"/>
        </w:rPr>
        <w:t>para participar en procesos de selección y contratar con el Estado.</w:t>
      </w:r>
    </w:p>
    <w:p w:rsidR="0099506E" w:rsidRPr="0099506E" w:rsidRDefault="0099506E" w:rsidP="008B483F">
      <w:pPr>
        <w:pStyle w:val="Prrafodelista"/>
        <w:tabs>
          <w:tab w:val="num" w:pos="567"/>
        </w:tabs>
        <w:rPr>
          <w:rFonts w:ascii="Tahoma" w:eastAsia="Calibri" w:hAnsi="Tahoma" w:cs="Tahoma"/>
          <w:sz w:val="20"/>
          <w:szCs w:val="20"/>
          <w:lang w:val="es-ES_tradnl" w:eastAsia="en-US"/>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eastAsia="Calibri" w:hAnsi="Tahoma" w:cs="Tahoma"/>
          <w:sz w:val="20"/>
          <w:szCs w:val="20"/>
          <w:lang w:val="es-ES_tradnl" w:eastAsia="en-US"/>
        </w:rPr>
        <w:t xml:space="preserve">Ello, en atención a que este Colegiado ha tenido a vista la </w:t>
      </w:r>
      <w:r w:rsidRPr="0099506E">
        <w:rPr>
          <w:rFonts w:ascii="Tahoma" w:hAnsi="Tahoma" w:cs="Tahoma"/>
          <w:sz w:val="20"/>
          <w:szCs w:val="20"/>
        </w:rPr>
        <w:t>Resolución № 200-2009-OSCE/DSE de fecha 22 de noviembre de 2009, mediante la cual la Entidad resolvió, entre otros, declarar que la empresa DISTRIBUIDORA CONST Q &amp; P E.I.R.L. se encuentra impedida de inscribirse en el Registro Nacional de Proveedores (RNP), durante el periodo de dos (02) años, con arreglo a lo establecido en el tercer párrafo del artículo 9 de la Ley en concordancia con lo dispuesto en el numeral 2 del artículo 259 del Reglamento.</w:t>
      </w:r>
    </w:p>
    <w:p w:rsidR="0099506E" w:rsidRPr="0099506E" w:rsidRDefault="0099506E" w:rsidP="008B483F">
      <w:pPr>
        <w:pStyle w:val="Prrafodelista"/>
        <w:tabs>
          <w:tab w:val="num" w:pos="567"/>
        </w:tabs>
        <w:rPr>
          <w:rFonts w:ascii="Tahoma" w:hAnsi="Tahoma" w:cs="Tahoma"/>
          <w:sz w:val="20"/>
          <w:szCs w:val="20"/>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 xml:space="preserve">Nótese entonces, </w:t>
      </w:r>
      <w:r w:rsidRPr="0099506E">
        <w:rPr>
          <w:rFonts w:ascii="Tahoma" w:eastAsia="Calibri" w:hAnsi="Tahoma" w:cs="Tahoma"/>
          <w:sz w:val="20"/>
          <w:szCs w:val="20"/>
          <w:lang w:eastAsia="en-US"/>
        </w:rPr>
        <w:t xml:space="preserve">que mediante dicha disposición, se estaría configurando una sanción administrativa de impedimento de inscripción en el Registro Nacional de Proveedores, el mismo que tendría como efecto que el Proveedor no pueda participar, ser postor y/o contratista en los procesos de selección convocados por las Entidades por el periodo de dos (02) años, al no contar con inscripción en el Registro Nacional de Proveedores. </w:t>
      </w:r>
    </w:p>
    <w:p w:rsidR="0099506E" w:rsidRPr="0099506E" w:rsidRDefault="0099506E" w:rsidP="008B483F">
      <w:pPr>
        <w:pStyle w:val="Prrafodelista"/>
        <w:tabs>
          <w:tab w:val="num" w:pos="567"/>
        </w:tabs>
        <w:rPr>
          <w:rFonts w:ascii="Tahoma" w:eastAsia="Calibri" w:hAnsi="Tahoma" w:cs="Tahoma"/>
          <w:sz w:val="20"/>
          <w:szCs w:val="20"/>
          <w:lang w:val="es-PE" w:eastAsia="en-US"/>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eastAsia="Calibri" w:hAnsi="Tahoma" w:cs="Tahoma"/>
          <w:sz w:val="20"/>
          <w:szCs w:val="20"/>
          <w:lang w:val="es-PE" w:eastAsia="en-US"/>
        </w:rPr>
        <w:t>De lo expuesto, resulta necesario traer a colación, que el derecho sancionador administrativo</w:t>
      </w:r>
      <w:r w:rsidRPr="0099506E">
        <w:rPr>
          <w:rFonts w:ascii="Tahoma" w:eastAsia="Calibri" w:hAnsi="Tahoma" w:cs="Tahoma"/>
          <w:sz w:val="20"/>
          <w:szCs w:val="20"/>
          <w:lang w:eastAsia="en-US"/>
        </w:rPr>
        <w:t xml:space="preserve"> se rige por principios, los cuales constituyen elementos que el legislador ha considerado básicos para encausar, controlar y limitar la potestad sancionadora del Estado. Asimismo, controlan la liberalidad o discrecionalidad de la administración en la interpretación de las normas existentes, en la integración jurídica para resolver aquello no regulado, así como para desarrollar las normas administrativas complementarias. Dentro de los principios administrativos que recoge la Ley del Procedimiento Administrativo General – Ley N° 27444, en el numeral 10</w:t>
      </w:r>
      <w:r w:rsidRPr="0099506E">
        <w:rPr>
          <w:rFonts w:ascii="Tahoma" w:eastAsia="Calibri" w:hAnsi="Tahoma" w:cs="Tahoma"/>
          <w:sz w:val="20"/>
          <w:szCs w:val="20"/>
          <w:vertAlign w:val="superscript"/>
          <w:lang w:eastAsia="en-US"/>
        </w:rPr>
        <w:footnoteReference w:id="4"/>
      </w:r>
      <w:r w:rsidRPr="0099506E">
        <w:rPr>
          <w:rFonts w:ascii="Tahoma" w:eastAsia="Calibri" w:hAnsi="Tahoma" w:cs="Tahoma"/>
          <w:sz w:val="20"/>
          <w:szCs w:val="20"/>
          <w:lang w:eastAsia="en-US"/>
        </w:rPr>
        <w:t xml:space="preserve"> del artículo 230, se encuentra el </w:t>
      </w:r>
      <w:r w:rsidRPr="0099506E">
        <w:rPr>
          <w:rFonts w:ascii="Tahoma" w:eastAsia="Calibri" w:hAnsi="Tahoma" w:cs="Tahoma"/>
          <w:i/>
          <w:sz w:val="20"/>
          <w:szCs w:val="20"/>
          <w:lang w:eastAsia="en-US"/>
        </w:rPr>
        <w:t>Principio de</w:t>
      </w:r>
      <w:r w:rsidRPr="0099506E">
        <w:rPr>
          <w:rFonts w:ascii="Tahoma" w:eastAsia="Calibri" w:hAnsi="Tahoma" w:cs="Tahoma"/>
          <w:sz w:val="20"/>
          <w:szCs w:val="20"/>
          <w:lang w:eastAsia="en-US"/>
        </w:rPr>
        <w:t xml:space="preserve"> </w:t>
      </w:r>
      <w:r w:rsidRPr="0099506E">
        <w:rPr>
          <w:rFonts w:ascii="Tahoma" w:eastAsia="Calibri" w:hAnsi="Tahoma" w:cs="Tahoma"/>
          <w:i/>
          <w:sz w:val="20"/>
          <w:szCs w:val="20"/>
          <w:lang w:eastAsia="en-US"/>
        </w:rPr>
        <w:t>Non bis In Idem</w:t>
      </w:r>
      <w:r w:rsidRPr="0099506E">
        <w:rPr>
          <w:rFonts w:ascii="Tahoma" w:eastAsia="Calibri" w:hAnsi="Tahoma" w:cs="Tahoma"/>
          <w:sz w:val="20"/>
          <w:szCs w:val="20"/>
          <w:lang w:eastAsia="en-US"/>
        </w:rPr>
        <w:t xml:space="preserve">, el cual </w:t>
      </w:r>
      <w:r w:rsidRPr="0099506E">
        <w:rPr>
          <w:rFonts w:ascii="Tahoma" w:eastAsia="Calibri" w:hAnsi="Tahoma" w:cs="Tahoma"/>
          <w:i/>
          <w:sz w:val="20"/>
          <w:szCs w:val="20"/>
          <w:lang w:eastAsia="en-US"/>
        </w:rPr>
        <w:t>intenta resolver la concurrencia del ejercicio de poderes punitivos o sancionadores mediante la exclusión de la posibilidad de imponer sobre la base de los mismos hechos dos o más sanciones administrativas o una sanción administrativa y otra de orden penal</w:t>
      </w:r>
      <w:r w:rsidRPr="0099506E">
        <w:rPr>
          <w:rFonts w:ascii="Tahoma" w:eastAsia="Calibri" w:hAnsi="Tahoma" w:cs="Tahoma"/>
          <w:i/>
          <w:sz w:val="20"/>
          <w:szCs w:val="20"/>
          <w:vertAlign w:val="superscript"/>
          <w:lang w:eastAsia="en-US"/>
        </w:rPr>
        <w:footnoteReference w:id="5"/>
      </w:r>
      <w:r w:rsidRPr="0099506E">
        <w:rPr>
          <w:rFonts w:ascii="Tahoma" w:eastAsia="Calibri" w:hAnsi="Tahoma" w:cs="Tahoma"/>
          <w:i/>
          <w:sz w:val="20"/>
          <w:szCs w:val="20"/>
          <w:lang w:eastAsia="en-US"/>
        </w:rPr>
        <w:t>.</w:t>
      </w:r>
    </w:p>
    <w:p w:rsidR="0099506E" w:rsidRPr="0099506E" w:rsidRDefault="0099506E" w:rsidP="008B483F">
      <w:pPr>
        <w:pStyle w:val="Prrafodelista"/>
        <w:tabs>
          <w:tab w:val="num" w:pos="567"/>
        </w:tabs>
        <w:rPr>
          <w:rFonts w:ascii="Tahoma" w:hAnsi="Tahoma" w:cs="Tahoma"/>
          <w:sz w:val="20"/>
          <w:szCs w:val="20"/>
        </w:rPr>
      </w:pPr>
    </w:p>
    <w:p w:rsidR="0099506E" w:rsidRPr="0099506E" w:rsidRDefault="0099506E" w:rsidP="008B483F">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Así, pues, el</w:t>
      </w:r>
      <w:r w:rsidRPr="0099506E">
        <w:rPr>
          <w:rFonts w:ascii="Tahoma" w:hAnsi="Tahoma" w:cs="Tahoma"/>
          <w:i/>
          <w:sz w:val="20"/>
          <w:szCs w:val="20"/>
        </w:rPr>
        <w:t xml:space="preserve"> Principio</w:t>
      </w:r>
      <w:r w:rsidRPr="0099506E">
        <w:rPr>
          <w:rFonts w:ascii="Tahoma" w:hAnsi="Tahoma" w:cs="Tahoma"/>
          <w:sz w:val="20"/>
          <w:szCs w:val="20"/>
        </w:rPr>
        <w:t xml:space="preserve"> </w:t>
      </w:r>
      <w:r w:rsidRPr="0099506E">
        <w:rPr>
          <w:rFonts w:ascii="Tahoma" w:hAnsi="Tahoma" w:cs="Tahoma"/>
          <w:i/>
          <w:sz w:val="20"/>
          <w:szCs w:val="20"/>
        </w:rPr>
        <w:t>Non Bis In Idem,</w:t>
      </w:r>
      <w:r w:rsidRPr="0099506E">
        <w:rPr>
          <w:rFonts w:ascii="Tahoma" w:hAnsi="Tahoma" w:cs="Tahoma"/>
          <w:sz w:val="20"/>
          <w:szCs w:val="20"/>
        </w:rPr>
        <w:t xml:space="preserve"> el cual, en términos generales, contiene dos acepciones: una material y otra procesal. Así, en su acepción material, dicho principio supone que nadie puede ser castigado dos veces por un mismo hecho puesto que tal proceder constituye un exceso del poder sancionador, contrario a las garantías propias del Estado de Derecho. En su acepción procesal, significa que nadie puede ser juzgado dos veces por los mismos hechos, es decir que un mismo hecho no puede ser objeto de </w:t>
      </w:r>
      <w:r w:rsidRPr="0099506E">
        <w:rPr>
          <w:rFonts w:ascii="Tahoma" w:hAnsi="Tahoma" w:cs="Tahoma"/>
          <w:sz w:val="20"/>
          <w:szCs w:val="20"/>
        </w:rPr>
        <w:lastRenderedPageBreak/>
        <w:t>dos procesos distintos o, si se quiere, que se inicien dos procesos cuando exista identidad de sujeto, hecho y fundamento.</w:t>
      </w:r>
    </w:p>
    <w:p w:rsidR="0099506E" w:rsidRPr="0099506E" w:rsidRDefault="0099506E" w:rsidP="0099506E">
      <w:pPr>
        <w:ind w:left="426"/>
        <w:jc w:val="both"/>
        <w:rPr>
          <w:rFonts w:ascii="Tahoma" w:hAnsi="Tahoma" w:cs="Tahoma"/>
          <w:sz w:val="20"/>
          <w:szCs w:val="20"/>
        </w:rPr>
      </w:pPr>
    </w:p>
    <w:p w:rsidR="0099506E" w:rsidRPr="0099506E" w:rsidRDefault="0099506E" w:rsidP="0099506E">
      <w:pPr>
        <w:ind w:left="567"/>
        <w:jc w:val="both"/>
        <w:rPr>
          <w:rFonts w:ascii="Tahoma" w:hAnsi="Tahoma" w:cs="Tahoma"/>
          <w:sz w:val="20"/>
          <w:szCs w:val="20"/>
        </w:rPr>
      </w:pPr>
      <w:r w:rsidRPr="0099506E">
        <w:rPr>
          <w:rFonts w:ascii="Tahoma" w:hAnsi="Tahoma" w:cs="Tahoma"/>
          <w:sz w:val="20"/>
          <w:szCs w:val="20"/>
        </w:rPr>
        <w:t xml:space="preserve">En ambas acepciones, la aplicación del </w:t>
      </w:r>
      <w:r w:rsidRPr="0099506E">
        <w:rPr>
          <w:rFonts w:ascii="Tahoma" w:hAnsi="Tahoma" w:cs="Tahoma"/>
          <w:i/>
          <w:sz w:val="20"/>
          <w:szCs w:val="20"/>
        </w:rPr>
        <w:t>Principio Non Bis In Idem</w:t>
      </w:r>
      <w:r w:rsidRPr="0099506E">
        <w:rPr>
          <w:rFonts w:ascii="Tahoma" w:hAnsi="Tahoma" w:cs="Tahoma"/>
          <w:sz w:val="20"/>
          <w:szCs w:val="20"/>
        </w:rPr>
        <w:t xml:space="preserve"> impide que una persona sea juzgada o sancionada por una misma infracción cuando exista la triple identidad arriba anotada.</w:t>
      </w:r>
    </w:p>
    <w:p w:rsidR="0099506E" w:rsidRPr="0099506E" w:rsidRDefault="0099506E" w:rsidP="0099506E">
      <w:pPr>
        <w:ind w:left="426"/>
        <w:jc w:val="both"/>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jc w:val="both"/>
        <w:rPr>
          <w:rFonts w:ascii="Tahoma" w:hAnsi="Tahoma" w:cs="Tahoma"/>
          <w:sz w:val="20"/>
          <w:szCs w:val="20"/>
        </w:rPr>
      </w:pPr>
      <w:r w:rsidRPr="0099506E">
        <w:rPr>
          <w:rFonts w:ascii="Tahoma" w:hAnsi="Tahoma" w:cs="Tahoma"/>
          <w:sz w:val="20"/>
          <w:szCs w:val="20"/>
        </w:rPr>
        <w:t xml:space="preserve">En línea con lo anterior, la Ley de Procedimiento Administrativo General establece que no se podrá imponer sucesiva o simultáneamente </w:t>
      </w:r>
      <w:r w:rsidRPr="0099506E">
        <w:rPr>
          <w:rFonts w:ascii="Tahoma" w:hAnsi="Tahoma" w:cs="Tahoma"/>
          <w:sz w:val="20"/>
          <w:szCs w:val="20"/>
          <w:u w:val="single"/>
        </w:rPr>
        <w:t>una pena</w:t>
      </w:r>
      <w:r w:rsidRPr="0099506E">
        <w:rPr>
          <w:rFonts w:ascii="Tahoma" w:hAnsi="Tahoma" w:cs="Tahoma"/>
          <w:sz w:val="20"/>
          <w:szCs w:val="20"/>
        </w:rPr>
        <w:t xml:space="preserve"> y una </w:t>
      </w:r>
      <w:r w:rsidRPr="0099506E">
        <w:rPr>
          <w:rFonts w:ascii="Tahoma" w:hAnsi="Tahoma" w:cs="Tahoma"/>
          <w:sz w:val="20"/>
          <w:szCs w:val="20"/>
          <w:u w:val="single"/>
        </w:rPr>
        <w:t>sanción administrativa</w:t>
      </w:r>
      <w:r w:rsidRPr="0099506E">
        <w:rPr>
          <w:rFonts w:ascii="Tahoma" w:hAnsi="Tahoma" w:cs="Tahoma"/>
          <w:sz w:val="20"/>
          <w:szCs w:val="20"/>
        </w:rPr>
        <w:t xml:space="preserve"> por el mismo hecho en los casos que se aprecie la identidad del sujeto, hecho y fundamento.</w:t>
      </w:r>
    </w:p>
    <w:p w:rsidR="0099506E" w:rsidRPr="0099506E" w:rsidRDefault="0099506E" w:rsidP="0099506E">
      <w:pPr>
        <w:ind w:left="426"/>
        <w:jc w:val="both"/>
        <w:rPr>
          <w:rFonts w:ascii="Tahoma" w:hAnsi="Tahoma" w:cs="Tahoma"/>
          <w:sz w:val="20"/>
          <w:szCs w:val="20"/>
        </w:rPr>
      </w:pPr>
    </w:p>
    <w:p w:rsidR="0099506E" w:rsidRPr="0099506E" w:rsidRDefault="0099506E" w:rsidP="0099506E">
      <w:pPr>
        <w:ind w:left="567"/>
        <w:jc w:val="both"/>
        <w:rPr>
          <w:rFonts w:ascii="Tahoma" w:hAnsi="Tahoma" w:cs="Tahoma"/>
          <w:sz w:val="20"/>
          <w:szCs w:val="20"/>
        </w:rPr>
      </w:pPr>
      <w:r w:rsidRPr="0099506E">
        <w:rPr>
          <w:rFonts w:ascii="Tahoma" w:hAnsi="Tahoma" w:cs="Tahoma"/>
          <w:sz w:val="20"/>
          <w:szCs w:val="20"/>
        </w:rPr>
        <w:t xml:space="preserve">Cabe señalar que el </w:t>
      </w:r>
      <w:r w:rsidRPr="0099506E">
        <w:rPr>
          <w:rFonts w:ascii="Tahoma" w:hAnsi="Tahoma" w:cs="Tahoma"/>
          <w:i/>
          <w:sz w:val="20"/>
          <w:szCs w:val="20"/>
        </w:rPr>
        <w:t>Principio Non Bis In Idem</w:t>
      </w:r>
      <w:r w:rsidRPr="0099506E">
        <w:rPr>
          <w:rFonts w:ascii="Tahoma" w:hAnsi="Tahoma" w:cs="Tahoma"/>
          <w:sz w:val="20"/>
          <w:szCs w:val="20"/>
        </w:rPr>
        <w:t xml:space="preserve">  no es de aplicación únicamente ante una dualidad configurada en un proceso penal y un procedimiento administrativo sancionador, sino que dicho principio se hace extensivo incluso a procedimientos de la misma naturaleza jurídica, como es el caso de los procedimientos administrativos sancionadores. Sobre este punto, el Tribunal Constitucional en su Sentencia recaída en el Expediente № 2050-2002-AA/TC ha señalado lo siguiente: </w:t>
      </w:r>
      <w:r w:rsidRPr="0099506E">
        <w:rPr>
          <w:rFonts w:ascii="Tahoma" w:hAnsi="Tahoma" w:cs="Tahoma"/>
          <w:i/>
          <w:sz w:val="20"/>
          <w:szCs w:val="20"/>
        </w:rPr>
        <w:t xml:space="preserve">«En su vertiente procesal, tal principio (non bis in idem) significa que nadie pueda ser juzgado dos veces por los mismos hechos, es decir, que un mismo hecho no pueda ser objeto de dos procesos distintos o, si se quiere, que se inicien dos procesos con el mismo objeto. Con ello se impide, por un lado, la dualidad de procedimientos (por ejemplo, uno de orden administrativo y otro de orden penal) y, por otro, </w:t>
      </w:r>
      <w:r w:rsidRPr="0099506E">
        <w:rPr>
          <w:rFonts w:ascii="Tahoma" w:hAnsi="Tahoma" w:cs="Tahoma"/>
          <w:i/>
          <w:sz w:val="20"/>
          <w:szCs w:val="20"/>
          <w:u w:val="single"/>
        </w:rPr>
        <w:t>el inicio de un nuevo proceso en cada uno de esos órdenes jurídicos (dos procesos administrativos con el mismo objeto)</w:t>
      </w:r>
      <w:r w:rsidRPr="0099506E">
        <w:rPr>
          <w:rFonts w:ascii="Tahoma" w:hAnsi="Tahoma" w:cs="Tahoma"/>
          <w:i/>
          <w:sz w:val="20"/>
          <w:szCs w:val="20"/>
        </w:rPr>
        <w:t>»</w:t>
      </w:r>
      <w:r w:rsidRPr="0099506E">
        <w:rPr>
          <w:rFonts w:ascii="Tahoma" w:hAnsi="Tahoma" w:cs="Tahoma"/>
          <w:sz w:val="20"/>
          <w:szCs w:val="20"/>
        </w:rPr>
        <w:t xml:space="preserve"> (el subrayado es nuestro).</w:t>
      </w:r>
    </w:p>
    <w:p w:rsidR="0099506E" w:rsidRPr="0099506E" w:rsidRDefault="0099506E" w:rsidP="0099506E">
      <w:pPr>
        <w:ind w:left="426"/>
        <w:jc w:val="both"/>
        <w:rPr>
          <w:rFonts w:ascii="Tahoma" w:hAnsi="Tahoma" w:cs="Tahoma"/>
          <w:sz w:val="20"/>
          <w:szCs w:val="20"/>
        </w:rPr>
      </w:pPr>
    </w:p>
    <w:p w:rsidR="0099506E" w:rsidRPr="0099506E" w:rsidRDefault="0099506E" w:rsidP="0099506E">
      <w:pPr>
        <w:numPr>
          <w:ilvl w:val="0"/>
          <w:numId w:val="19"/>
        </w:numPr>
        <w:tabs>
          <w:tab w:val="clear" w:pos="360"/>
          <w:tab w:val="num" w:pos="567"/>
        </w:tabs>
        <w:ind w:left="567" w:hanging="567"/>
        <w:jc w:val="both"/>
        <w:rPr>
          <w:rFonts w:ascii="Tahoma" w:hAnsi="Tahoma" w:cs="Tahoma"/>
          <w:sz w:val="20"/>
          <w:szCs w:val="20"/>
        </w:rPr>
      </w:pPr>
      <w:r w:rsidRPr="0099506E">
        <w:rPr>
          <w:rFonts w:ascii="Tahoma" w:hAnsi="Tahoma" w:cs="Tahoma"/>
          <w:sz w:val="20"/>
          <w:szCs w:val="20"/>
        </w:rPr>
        <w:t xml:space="preserve">A mayor abundamiento, resulta pertinente resaltar la importancia que supone la observancia del </w:t>
      </w:r>
      <w:r w:rsidRPr="0099506E">
        <w:rPr>
          <w:rFonts w:ascii="Tahoma" w:hAnsi="Tahoma" w:cs="Tahoma"/>
          <w:i/>
          <w:sz w:val="20"/>
          <w:szCs w:val="20"/>
        </w:rPr>
        <w:t>Principio Non Bis In Idem</w:t>
      </w:r>
      <w:r w:rsidRPr="0099506E">
        <w:rPr>
          <w:rFonts w:ascii="Tahoma" w:hAnsi="Tahoma" w:cs="Tahoma"/>
          <w:sz w:val="20"/>
          <w:szCs w:val="20"/>
        </w:rPr>
        <w:t xml:space="preserve"> dentro de cualquier procedimiento administrativo sancionador, toda vez que dicho principio forma parte, a su vez, del  principio del debido procedimiento consagrado en el numeral 1.2 del Artículo IV del Título Preliminar de la Ley № 27444, el cual tiene su origen en el numeral 3 del artículo 139 de la Constitución Política del Perú.</w:t>
      </w:r>
    </w:p>
    <w:p w:rsidR="0099506E" w:rsidRPr="0099506E" w:rsidRDefault="0099506E" w:rsidP="0099506E">
      <w:pPr>
        <w:ind w:left="567"/>
        <w:jc w:val="both"/>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t xml:space="preserve">En ese orden de ideas y, desde la perspectiva de la triple identidad indicada, en el caso bajo análisis se aprecia que existe </w:t>
      </w:r>
      <w:r w:rsidRPr="0099506E">
        <w:rPr>
          <w:rFonts w:ascii="Tahoma" w:hAnsi="Tahoma" w:cs="Tahoma"/>
          <w:sz w:val="20"/>
          <w:szCs w:val="20"/>
          <w:u w:val="single"/>
        </w:rPr>
        <w:t>identidad respecto del sujeto</w:t>
      </w:r>
      <w:r w:rsidRPr="0099506E">
        <w:rPr>
          <w:rFonts w:ascii="Tahoma" w:hAnsi="Tahoma" w:cs="Tahoma"/>
          <w:sz w:val="20"/>
          <w:szCs w:val="20"/>
        </w:rPr>
        <w:t xml:space="preserve">, por cuanto el Proveedor sometido al presente procedimiento administrativo sancionador es el mismo que fue impedido de inscribirse en el Registro Nacional de Proveedores por el periodo de dos (02) años –entendiéndose que éste no podrá participar en procesos de selección y contratar con el Estado–mediante la Resolución № 200-2009-OSCE/DSE de fecha 22 de noviembre de 2009. Asimismo, existe </w:t>
      </w:r>
      <w:r w:rsidRPr="0099506E">
        <w:rPr>
          <w:rFonts w:ascii="Tahoma" w:hAnsi="Tahoma" w:cs="Tahoma"/>
          <w:sz w:val="20"/>
          <w:szCs w:val="20"/>
          <w:u w:val="single"/>
        </w:rPr>
        <w:t>identidad respecto de los hechos materia de la imposición de sanción</w:t>
      </w:r>
      <w:r w:rsidRPr="0099506E">
        <w:rPr>
          <w:rFonts w:ascii="Tahoma" w:hAnsi="Tahoma" w:cs="Tahoma"/>
          <w:sz w:val="20"/>
          <w:szCs w:val="20"/>
        </w:rPr>
        <w:t xml:space="preserve">, pues ambos casos versan respecto a la responsabilidad del Proveedor en la inclusión en su trámite de renovación de inscripción como Ejecutor de Obras de la Declaración Jurada de Integrantes del Plantel Técnico, firmado por el Ingeniero Juan Epifanio Vargas Valverde, documento falso presentado ante la Entidad. Finalmente, el fundamento para imponer una sanción por el hecho denunciado radica en la afectación de la fe pública y del </w:t>
      </w:r>
      <w:r w:rsidRPr="0099506E">
        <w:rPr>
          <w:rFonts w:ascii="Tahoma" w:hAnsi="Tahoma" w:cs="Tahoma"/>
          <w:i/>
          <w:sz w:val="20"/>
          <w:szCs w:val="20"/>
        </w:rPr>
        <w:t>Principio de Moralidad,</w:t>
      </w:r>
      <w:r w:rsidRPr="0099506E">
        <w:rPr>
          <w:rFonts w:ascii="Tahoma" w:hAnsi="Tahoma" w:cs="Tahoma"/>
          <w:sz w:val="20"/>
          <w:szCs w:val="20"/>
        </w:rPr>
        <w:t xml:space="preserve"> con lo cual también se verifica la identidad del fundamento y bienes jurídicos afectados.</w:t>
      </w:r>
    </w:p>
    <w:p w:rsidR="0099506E" w:rsidRPr="0099506E" w:rsidRDefault="0099506E" w:rsidP="0099506E">
      <w:pPr>
        <w:pStyle w:val="Prrafodelista"/>
        <w:ind w:left="567"/>
        <w:contextualSpacing/>
        <w:jc w:val="both"/>
        <w:rPr>
          <w:rFonts w:ascii="Tahoma" w:hAnsi="Tahoma" w:cs="Tahoma"/>
          <w:sz w:val="20"/>
          <w:szCs w:val="20"/>
        </w:rPr>
      </w:pPr>
    </w:p>
    <w:p w:rsidR="0099506E" w:rsidRPr="0099506E" w:rsidRDefault="0099506E" w:rsidP="0099506E">
      <w:pPr>
        <w:pStyle w:val="Prrafodelista"/>
        <w:numPr>
          <w:ilvl w:val="0"/>
          <w:numId w:val="19"/>
        </w:numPr>
        <w:tabs>
          <w:tab w:val="clear" w:pos="360"/>
          <w:tab w:val="num" w:pos="567"/>
        </w:tabs>
        <w:ind w:left="567" w:hanging="567"/>
        <w:contextualSpacing/>
        <w:jc w:val="both"/>
        <w:rPr>
          <w:rFonts w:ascii="Tahoma" w:hAnsi="Tahoma" w:cs="Tahoma"/>
          <w:sz w:val="20"/>
          <w:szCs w:val="20"/>
        </w:rPr>
      </w:pPr>
      <w:r w:rsidRPr="0099506E">
        <w:rPr>
          <w:rFonts w:ascii="Tahoma" w:hAnsi="Tahoma" w:cs="Tahoma"/>
          <w:sz w:val="20"/>
          <w:szCs w:val="20"/>
        </w:rPr>
        <w:lastRenderedPageBreak/>
        <w:t xml:space="preserve">En consecuencia, ha quedado acreditado en el presente caso la triple identidad en los elementos necesarios para la configuración del </w:t>
      </w:r>
      <w:r w:rsidRPr="0099506E">
        <w:rPr>
          <w:rFonts w:ascii="Tahoma" w:hAnsi="Tahoma" w:cs="Tahoma"/>
          <w:i/>
          <w:sz w:val="20"/>
          <w:szCs w:val="20"/>
        </w:rPr>
        <w:t>Principio Non Bis In Idem</w:t>
      </w:r>
      <w:r w:rsidRPr="0099506E">
        <w:rPr>
          <w:rFonts w:ascii="Tahoma" w:hAnsi="Tahoma" w:cs="Tahoma"/>
          <w:sz w:val="20"/>
          <w:szCs w:val="20"/>
        </w:rPr>
        <w:t xml:space="preserve">. Por ende, por aplicación de dicho principio, no corresponde que el Tribunal imponga al Proveedor una nueva sanción administrativa. </w:t>
      </w:r>
    </w:p>
    <w:p w:rsidR="00F31A7A" w:rsidRPr="0099506E" w:rsidRDefault="00F31A7A" w:rsidP="00117E78">
      <w:pPr>
        <w:pStyle w:val="Prrafodelista"/>
        <w:tabs>
          <w:tab w:val="num" w:pos="567"/>
        </w:tabs>
        <w:ind w:left="0"/>
        <w:rPr>
          <w:rFonts w:ascii="Tahoma" w:hAnsi="Tahoma" w:cs="Tahoma"/>
          <w:sz w:val="20"/>
          <w:szCs w:val="20"/>
        </w:rPr>
      </w:pPr>
    </w:p>
    <w:p w:rsidR="008A0308" w:rsidRPr="0099506E" w:rsidRDefault="008A0308" w:rsidP="008A0308">
      <w:pPr>
        <w:ind w:left="567" w:firstLine="567"/>
        <w:jc w:val="both"/>
        <w:rPr>
          <w:rFonts w:ascii="Tahoma" w:hAnsi="Tahoma" w:cs="Tahoma"/>
          <w:sz w:val="20"/>
          <w:szCs w:val="20"/>
        </w:rPr>
      </w:pPr>
      <w:r w:rsidRPr="0099506E">
        <w:rPr>
          <w:rFonts w:ascii="Tahoma" w:hAnsi="Tahoma" w:cs="Tahoma"/>
          <w:color w:val="000000"/>
          <w:sz w:val="20"/>
          <w:szCs w:val="20"/>
        </w:rPr>
        <w:t xml:space="preserve">Por estos fundamentos, de conformidad con el informe del Vocal Ponente </w:t>
      </w:r>
      <w:r w:rsidRPr="0099506E">
        <w:rPr>
          <w:rFonts w:ascii="Tahoma" w:hAnsi="Tahoma" w:cs="Tahoma"/>
          <w:sz w:val="20"/>
          <w:szCs w:val="20"/>
        </w:rPr>
        <w:t>Doctor Carlos Vicente Navas Rondón</w:t>
      </w:r>
      <w:r w:rsidRPr="0099506E">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A0308" w:rsidRPr="0099506E" w:rsidRDefault="008A0308" w:rsidP="008A0308">
      <w:pPr>
        <w:jc w:val="both"/>
        <w:rPr>
          <w:rFonts w:ascii="Tahoma" w:hAnsi="Tahoma" w:cs="Tahoma"/>
          <w:sz w:val="20"/>
          <w:szCs w:val="20"/>
        </w:rPr>
      </w:pPr>
    </w:p>
    <w:p w:rsidR="00F31A7A" w:rsidRPr="0099506E" w:rsidRDefault="00F31A7A" w:rsidP="00266B38">
      <w:pPr>
        <w:ind w:left="567" w:firstLine="567"/>
        <w:jc w:val="both"/>
        <w:rPr>
          <w:rFonts w:ascii="Tahoma" w:hAnsi="Tahoma" w:cs="Tahoma"/>
          <w:sz w:val="20"/>
          <w:szCs w:val="20"/>
        </w:rPr>
      </w:pPr>
    </w:p>
    <w:p w:rsidR="00F31A7A" w:rsidRPr="0099506E" w:rsidRDefault="00F31A7A" w:rsidP="00F31A7A">
      <w:pPr>
        <w:ind w:right="-315"/>
        <w:jc w:val="both"/>
        <w:rPr>
          <w:rFonts w:ascii="Tahoma" w:hAnsi="Tahoma" w:cs="Tahoma"/>
          <w:b/>
          <w:sz w:val="20"/>
          <w:szCs w:val="20"/>
        </w:rPr>
      </w:pPr>
      <w:r w:rsidRPr="0099506E">
        <w:rPr>
          <w:rFonts w:ascii="Tahoma" w:hAnsi="Tahoma" w:cs="Tahoma"/>
          <w:b/>
          <w:sz w:val="20"/>
          <w:szCs w:val="20"/>
        </w:rPr>
        <w:t>LA SALA RESUELVE:</w:t>
      </w:r>
    </w:p>
    <w:p w:rsidR="00F31A7A" w:rsidRPr="0099506E" w:rsidRDefault="00F31A7A" w:rsidP="00F31A7A">
      <w:pPr>
        <w:ind w:left="-180"/>
        <w:jc w:val="both"/>
        <w:rPr>
          <w:rFonts w:ascii="Tahoma" w:hAnsi="Tahoma" w:cs="Tahoma"/>
          <w:sz w:val="20"/>
          <w:szCs w:val="20"/>
        </w:rPr>
      </w:pPr>
    </w:p>
    <w:p w:rsidR="0099506E" w:rsidRPr="0099506E" w:rsidRDefault="0099506E" w:rsidP="0099506E">
      <w:pPr>
        <w:pStyle w:val="Prrafodelista"/>
        <w:ind w:left="567"/>
        <w:jc w:val="both"/>
        <w:rPr>
          <w:rFonts w:ascii="Tahoma" w:hAnsi="Tahoma" w:cs="Tahoma"/>
          <w:sz w:val="20"/>
          <w:szCs w:val="20"/>
        </w:rPr>
      </w:pPr>
      <w:r w:rsidRPr="0099506E">
        <w:rPr>
          <w:rFonts w:ascii="Tahoma" w:hAnsi="Tahoma" w:cs="Tahoma"/>
          <w:sz w:val="20"/>
          <w:szCs w:val="20"/>
        </w:rPr>
        <w:t>Declarar no ha lugar la imposición de sanción en contra la empresa DISTRIBUIDORA CONST Q &amp; P E.I.R.L. por los fundamentos expuestos, debiendo archivarse el presente procedimiento administrativo sancionador.</w:t>
      </w:r>
    </w:p>
    <w:p w:rsidR="00F31A7A" w:rsidRPr="0099506E" w:rsidRDefault="00F31A7A" w:rsidP="00F31A7A">
      <w:pPr>
        <w:pStyle w:val="NormalWeb"/>
        <w:spacing w:before="0" w:beforeAutospacing="0" w:after="0" w:afterAutospacing="0"/>
        <w:ind w:left="567"/>
        <w:jc w:val="both"/>
        <w:rPr>
          <w:rFonts w:ascii="Tahoma" w:hAnsi="Tahoma" w:cs="Tahoma"/>
          <w:sz w:val="20"/>
          <w:szCs w:val="20"/>
        </w:rPr>
      </w:pPr>
    </w:p>
    <w:p w:rsidR="00F31A7A" w:rsidRPr="0099506E" w:rsidRDefault="00F31A7A" w:rsidP="00F31A7A">
      <w:pPr>
        <w:pStyle w:val="Textoindependiente21"/>
        <w:ind w:firstLine="540"/>
        <w:rPr>
          <w:rFonts w:cs="Tahoma"/>
          <w:sz w:val="20"/>
        </w:rPr>
      </w:pPr>
      <w:r w:rsidRPr="0099506E">
        <w:rPr>
          <w:rFonts w:cs="Tahoma"/>
          <w:sz w:val="20"/>
        </w:rPr>
        <w:t>Regístrese, comuníquese y publíquese.</w:t>
      </w:r>
    </w:p>
    <w:p w:rsidR="00F31A7A" w:rsidRPr="0099506E" w:rsidRDefault="00F31A7A" w:rsidP="00F31A7A">
      <w:pPr>
        <w:ind w:left="720"/>
        <w:rPr>
          <w:rFonts w:ascii="Tahoma" w:hAnsi="Tahoma" w:cs="Tahoma"/>
          <w:b/>
          <w:bCs/>
          <w:shadow/>
          <w:sz w:val="20"/>
          <w:szCs w:val="20"/>
        </w:rPr>
      </w:pPr>
    </w:p>
    <w:p w:rsidR="00F31A7A" w:rsidRPr="0099506E" w:rsidRDefault="00F31A7A" w:rsidP="00F31A7A">
      <w:pPr>
        <w:ind w:left="720"/>
        <w:rPr>
          <w:rFonts w:ascii="Tahoma" w:hAnsi="Tahoma" w:cs="Tahoma"/>
          <w:b/>
          <w:bCs/>
          <w:shadow/>
          <w:sz w:val="20"/>
          <w:szCs w:val="20"/>
        </w:rPr>
      </w:pPr>
    </w:p>
    <w:p w:rsidR="008A0308" w:rsidRPr="0099506E" w:rsidRDefault="008A0308" w:rsidP="00F31A7A">
      <w:pPr>
        <w:ind w:left="720"/>
        <w:rPr>
          <w:rFonts w:ascii="Tahoma" w:hAnsi="Tahoma" w:cs="Tahoma"/>
          <w:b/>
          <w:bCs/>
          <w:shadow/>
          <w:sz w:val="20"/>
          <w:szCs w:val="20"/>
        </w:rPr>
      </w:pPr>
    </w:p>
    <w:p w:rsidR="008A0308" w:rsidRPr="0099506E" w:rsidRDefault="008A0308" w:rsidP="00F31A7A">
      <w:pPr>
        <w:ind w:left="720"/>
        <w:rPr>
          <w:rFonts w:ascii="Tahoma" w:hAnsi="Tahoma" w:cs="Tahoma"/>
          <w:b/>
          <w:bCs/>
          <w:shadow/>
          <w:sz w:val="20"/>
          <w:szCs w:val="20"/>
        </w:rPr>
      </w:pPr>
    </w:p>
    <w:p w:rsidR="008A0308" w:rsidRPr="0099506E" w:rsidRDefault="008A0308" w:rsidP="00F31A7A">
      <w:pPr>
        <w:ind w:left="720"/>
        <w:rPr>
          <w:rFonts w:ascii="Tahoma" w:hAnsi="Tahoma" w:cs="Tahoma"/>
          <w:b/>
          <w:bCs/>
          <w:shadow/>
          <w:sz w:val="20"/>
          <w:szCs w:val="20"/>
        </w:rPr>
      </w:pPr>
    </w:p>
    <w:p w:rsidR="008A0308" w:rsidRPr="0099506E" w:rsidRDefault="008A0308" w:rsidP="00F31A7A">
      <w:pPr>
        <w:ind w:left="720"/>
        <w:rPr>
          <w:rFonts w:ascii="Tahoma" w:hAnsi="Tahoma" w:cs="Tahoma"/>
          <w:b/>
          <w:bCs/>
          <w:shadow/>
          <w:sz w:val="20"/>
          <w:szCs w:val="20"/>
        </w:rPr>
      </w:pPr>
    </w:p>
    <w:p w:rsidR="00190839" w:rsidRPr="0099506E" w:rsidRDefault="00190839" w:rsidP="00F31A7A">
      <w:pPr>
        <w:ind w:left="720"/>
        <w:rPr>
          <w:rFonts w:ascii="Tahoma" w:hAnsi="Tahoma" w:cs="Tahoma"/>
          <w:b/>
          <w:bCs/>
          <w:shadow/>
          <w:sz w:val="20"/>
          <w:szCs w:val="20"/>
        </w:rPr>
      </w:pPr>
    </w:p>
    <w:p w:rsidR="003B3C54" w:rsidRPr="0099506E" w:rsidRDefault="003B3C54" w:rsidP="00F31A7A">
      <w:pPr>
        <w:ind w:left="720"/>
        <w:rPr>
          <w:rFonts w:ascii="Tahoma" w:hAnsi="Tahoma" w:cs="Tahoma"/>
          <w:b/>
          <w:bCs/>
          <w:shadow/>
          <w:sz w:val="20"/>
          <w:szCs w:val="20"/>
        </w:rPr>
      </w:pPr>
    </w:p>
    <w:p w:rsidR="00D93ED4" w:rsidRPr="0099506E" w:rsidRDefault="00D93ED4" w:rsidP="00F31A7A">
      <w:pPr>
        <w:ind w:left="720"/>
        <w:rPr>
          <w:rFonts w:ascii="Tahoma" w:hAnsi="Tahoma" w:cs="Tahoma"/>
          <w:b/>
          <w:bCs/>
          <w:shadow/>
          <w:sz w:val="20"/>
          <w:szCs w:val="20"/>
        </w:rPr>
      </w:pPr>
    </w:p>
    <w:p w:rsidR="00F31A7A" w:rsidRPr="0099506E" w:rsidRDefault="00F31A7A" w:rsidP="00F31A7A">
      <w:pPr>
        <w:jc w:val="center"/>
        <w:rPr>
          <w:rFonts w:ascii="Tahoma" w:hAnsi="Tahoma" w:cs="Tahoma"/>
          <w:b/>
          <w:bCs/>
          <w:shadow/>
          <w:sz w:val="20"/>
          <w:szCs w:val="20"/>
        </w:rPr>
      </w:pPr>
      <w:r w:rsidRPr="0099506E">
        <w:rPr>
          <w:rFonts w:ascii="Tahoma" w:hAnsi="Tahoma" w:cs="Tahoma"/>
          <w:b/>
          <w:bCs/>
          <w:shadow/>
          <w:sz w:val="20"/>
          <w:szCs w:val="20"/>
        </w:rPr>
        <w:t>PRESIDENTE</w:t>
      </w:r>
    </w:p>
    <w:p w:rsidR="00F31A7A" w:rsidRPr="0099506E" w:rsidRDefault="00F31A7A" w:rsidP="00F31A7A">
      <w:pPr>
        <w:jc w:val="center"/>
        <w:rPr>
          <w:rFonts w:ascii="Tahoma" w:hAnsi="Tahoma" w:cs="Tahoma"/>
          <w:b/>
          <w:bCs/>
          <w:shadow/>
          <w:sz w:val="20"/>
          <w:szCs w:val="20"/>
        </w:rPr>
      </w:pPr>
    </w:p>
    <w:p w:rsidR="00F31A7A" w:rsidRPr="0099506E" w:rsidRDefault="00F31A7A" w:rsidP="00F31A7A">
      <w:pPr>
        <w:jc w:val="center"/>
        <w:rPr>
          <w:rFonts w:ascii="Tahoma" w:hAnsi="Tahoma" w:cs="Tahoma"/>
          <w:b/>
          <w:bCs/>
          <w:shadow/>
          <w:sz w:val="20"/>
          <w:szCs w:val="20"/>
        </w:rPr>
      </w:pPr>
    </w:p>
    <w:p w:rsidR="00F31A7A" w:rsidRPr="0099506E" w:rsidRDefault="00F31A7A" w:rsidP="00F31A7A">
      <w:pPr>
        <w:jc w:val="center"/>
        <w:rPr>
          <w:rFonts w:ascii="Tahoma" w:hAnsi="Tahoma" w:cs="Tahoma"/>
          <w:b/>
          <w:bCs/>
          <w:shadow/>
          <w:sz w:val="20"/>
          <w:szCs w:val="20"/>
        </w:rPr>
      </w:pPr>
    </w:p>
    <w:p w:rsidR="00F31A7A" w:rsidRPr="0099506E" w:rsidRDefault="00F31A7A" w:rsidP="00F31A7A">
      <w:pPr>
        <w:jc w:val="center"/>
        <w:rPr>
          <w:rFonts w:ascii="Tahoma" w:hAnsi="Tahoma" w:cs="Tahoma"/>
          <w:b/>
          <w:shadow/>
          <w:sz w:val="20"/>
          <w:szCs w:val="20"/>
        </w:rPr>
      </w:pPr>
      <w:r w:rsidRPr="0099506E">
        <w:rPr>
          <w:rFonts w:ascii="Tahoma" w:hAnsi="Tahoma" w:cs="Tahoma"/>
          <w:b/>
          <w:shadow/>
          <w:sz w:val="20"/>
          <w:szCs w:val="20"/>
        </w:rPr>
        <w:t xml:space="preserve">VOCAL           </w:t>
      </w:r>
      <w:r w:rsidRPr="0099506E">
        <w:rPr>
          <w:rFonts w:ascii="Tahoma" w:hAnsi="Tahoma" w:cs="Tahoma"/>
          <w:b/>
          <w:shadow/>
          <w:sz w:val="20"/>
          <w:szCs w:val="20"/>
        </w:rPr>
        <w:tab/>
      </w:r>
      <w:r w:rsidRPr="0099506E">
        <w:rPr>
          <w:rFonts w:ascii="Tahoma" w:hAnsi="Tahoma" w:cs="Tahoma"/>
          <w:b/>
          <w:shadow/>
          <w:sz w:val="20"/>
          <w:szCs w:val="20"/>
        </w:rPr>
        <w:tab/>
        <w:t xml:space="preserve">                                                                VOCAL</w:t>
      </w:r>
    </w:p>
    <w:p w:rsidR="00F31A7A" w:rsidRPr="0099506E" w:rsidRDefault="00F31A7A" w:rsidP="00F31A7A">
      <w:pPr>
        <w:jc w:val="center"/>
        <w:rPr>
          <w:rFonts w:ascii="Tahoma" w:hAnsi="Tahoma" w:cs="Tahoma"/>
          <w:shadow/>
          <w:sz w:val="20"/>
          <w:szCs w:val="20"/>
        </w:rPr>
      </w:pPr>
    </w:p>
    <w:p w:rsidR="00F31A7A" w:rsidRPr="0099506E" w:rsidRDefault="00F31A7A" w:rsidP="00F31A7A">
      <w:pPr>
        <w:rPr>
          <w:rFonts w:ascii="Tahoma" w:hAnsi="Tahoma" w:cs="Tahoma"/>
          <w:shadow/>
          <w:sz w:val="20"/>
          <w:szCs w:val="20"/>
        </w:rPr>
      </w:pPr>
    </w:p>
    <w:p w:rsidR="00F31A7A" w:rsidRPr="0099506E" w:rsidRDefault="00F31A7A" w:rsidP="00F31A7A">
      <w:pPr>
        <w:jc w:val="both"/>
        <w:rPr>
          <w:rFonts w:ascii="Tahoma" w:hAnsi="Tahoma" w:cs="Tahoma"/>
          <w:sz w:val="20"/>
          <w:szCs w:val="20"/>
        </w:rPr>
      </w:pPr>
      <w:r w:rsidRPr="0099506E">
        <w:rPr>
          <w:rFonts w:ascii="Tahoma" w:hAnsi="Tahoma" w:cs="Tahoma"/>
          <w:sz w:val="20"/>
          <w:szCs w:val="20"/>
        </w:rPr>
        <w:t>ss.</w:t>
      </w:r>
    </w:p>
    <w:p w:rsidR="008A0308" w:rsidRPr="0099506E" w:rsidRDefault="008A0308" w:rsidP="008A0308">
      <w:pPr>
        <w:jc w:val="both"/>
        <w:rPr>
          <w:rFonts w:ascii="Tahoma" w:hAnsi="Tahoma" w:cs="Tahoma"/>
          <w:sz w:val="20"/>
          <w:szCs w:val="20"/>
        </w:rPr>
      </w:pPr>
      <w:r w:rsidRPr="0099506E">
        <w:rPr>
          <w:rFonts w:ascii="Tahoma" w:hAnsi="Tahoma" w:cs="Tahoma"/>
          <w:sz w:val="20"/>
          <w:szCs w:val="20"/>
        </w:rPr>
        <w:t>Navas Rondón</w:t>
      </w:r>
    </w:p>
    <w:p w:rsidR="008A0308" w:rsidRPr="0099506E" w:rsidRDefault="008A0308" w:rsidP="008A0308">
      <w:pPr>
        <w:jc w:val="both"/>
        <w:rPr>
          <w:rFonts w:ascii="Tahoma" w:hAnsi="Tahoma" w:cs="Tahoma"/>
          <w:color w:val="000000"/>
          <w:sz w:val="20"/>
          <w:szCs w:val="20"/>
        </w:rPr>
      </w:pPr>
      <w:r w:rsidRPr="0099506E">
        <w:rPr>
          <w:rFonts w:ascii="Tahoma" w:hAnsi="Tahoma" w:cs="Tahoma"/>
          <w:color w:val="000000"/>
          <w:sz w:val="20"/>
          <w:szCs w:val="20"/>
        </w:rPr>
        <w:t xml:space="preserve">Ramírez Maynetto </w:t>
      </w:r>
    </w:p>
    <w:p w:rsidR="003B3C54" w:rsidRPr="0099506E" w:rsidRDefault="008A0308" w:rsidP="008A0308">
      <w:pPr>
        <w:jc w:val="both"/>
        <w:rPr>
          <w:rFonts w:ascii="Tahoma" w:hAnsi="Tahoma" w:cs="Tahoma"/>
          <w:sz w:val="20"/>
          <w:szCs w:val="20"/>
        </w:rPr>
      </w:pPr>
      <w:r w:rsidRPr="0099506E">
        <w:rPr>
          <w:rFonts w:ascii="Tahoma" w:hAnsi="Tahoma" w:cs="Tahoma"/>
          <w:sz w:val="20"/>
          <w:szCs w:val="20"/>
        </w:rPr>
        <w:t>Basulto Liewald</w:t>
      </w:r>
    </w:p>
    <w:sectPr w:rsidR="003B3C54" w:rsidRPr="0099506E" w:rsidSect="0038791B">
      <w:headerReference w:type="default"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617" w:rsidRDefault="00E06617" w:rsidP="00F31A7A">
      <w:r>
        <w:separator/>
      </w:r>
    </w:p>
  </w:endnote>
  <w:endnote w:type="continuationSeparator" w:id="1">
    <w:p w:rsidR="00E06617" w:rsidRDefault="00E06617" w:rsidP="00F31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B8" w:rsidRPr="00D64584" w:rsidRDefault="00AD7110" w:rsidP="00D64584">
    <w:pPr>
      <w:pStyle w:val="Piedepgina"/>
      <w:jc w:val="center"/>
      <w:rPr>
        <w:i/>
        <w:sz w:val="20"/>
        <w:szCs w:val="20"/>
      </w:rPr>
    </w:pPr>
    <w:r w:rsidRPr="00D64584">
      <w:rPr>
        <w:i/>
        <w:sz w:val="20"/>
        <w:szCs w:val="20"/>
      </w:rPr>
      <w:t xml:space="preserve">Página </w:t>
    </w:r>
    <w:r w:rsidR="00AB6ACE" w:rsidRPr="00D64584">
      <w:rPr>
        <w:i/>
        <w:sz w:val="20"/>
        <w:szCs w:val="20"/>
      </w:rPr>
      <w:fldChar w:fldCharType="begin"/>
    </w:r>
    <w:r w:rsidRPr="00D64584">
      <w:rPr>
        <w:i/>
        <w:sz w:val="20"/>
        <w:szCs w:val="20"/>
      </w:rPr>
      <w:instrText xml:space="preserve"> PAGE </w:instrText>
    </w:r>
    <w:r w:rsidR="00AB6ACE" w:rsidRPr="00D64584">
      <w:rPr>
        <w:i/>
        <w:sz w:val="20"/>
        <w:szCs w:val="20"/>
      </w:rPr>
      <w:fldChar w:fldCharType="separate"/>
    </w:r>
    <w:r w:rsidR="00001F0C">
      <w:rPr>
        <w:i/>
        <w:noProof/>
        <w:sz w:val="20"/>
        <w:szCs w:val="20"/>
      </w:rPr>
      <w:t>1</w:t>
    </w:r>
    <w:r w:rsidR="00AB6ACE" w:rsidRPr="00D64584">
      <w:rPr>
        <w:i/>
        <w:sz w:val="20"/>
        <w:szCs w:val="20"/>
      </w:rPr>
      <w:fldChar w:fldCharType="end"/>
    </w:r>
    <w:r w:rsidRPr="00D64584">
      <w:rPr>
        <w:i/>
        <w:sz w:val="20"/>
        <w:szCs w:val="20"/>
      </w:rPr>
      <w:t xml:space="preserve"> de </w:t>
    </w:r>
    <w:r w:rsidR="00AB6ACE" w:rsidRPr="00D64584">
      <w:rPr>
        <w:i/>
        <w:sz w:val="20"/>
        <w:szCs w:val="20"/>
      </w:rPr>
      <w:fldChar w:fldCharType="begin"/>
    </w:r>
    <w:r w:rsidRPr="00D64584">
      <w:rPr>
        <w:i/>
        <w:sz w:val="20"/>
        <w:szCs w:val="20"/>
      </w:rPr>
      <w:instrText xml:space="preserve"> NUMPAGES </w:instrText>
    </w:r>
    <w:r w:rsidR="00AB6ACE" w:rsidRPr="00D64584">
      <w:rPr>
        <w:i/>
        <w:sz w:val="20"/>
        <w:szCs w:val="20"/>
      </w:rPr>
      <w:fldChar w:fldCharType="separate"/>
    </w:r>
    <w:r w:rsidR="00001F0C">
      <w:rPr>
        <w:i/>
        <w:noProof/>
        <w:sz w:val="20"/>
        <w:szCs w:val="20"/>
      </w:rPr>
      <w:t>8</w:t>
    </w:r>
    <w:r w:rsidR="00AB6ACE" w:rsidRPr="00D64584">
      <w:rP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617" w:rsidRDefault="00E06617" w:rsidP="00F31A7A">
      <w:r>
        <w:separator/>
      </w:r>
    </w:p>
  </w:footnote>
  <w:footnote w:type="continuationSeparator" w:id="1">
    <w:p w:rsidR="00E06617" w:rsidRDefault="00E06617" w:rsidP="00F31A7A">
      <w:r>
        <w:continuationSeparator/>
      </w:r>
    </w:p>
  </w:footnote>
  <w:footnote w:id="2">
    <w:p w:rsidR="0099506E" w:rsidRPr="007A67C7" w:rsidRDefault="0099506E" w:rsidP="0099506E">
      <w:pPr>
        <w:pStyle w:val="Textonotapie"/>
        <w:jc w:val="both"/>
        <w:rPr>
          <w:rFonts w:ascii="Tahoma" w:hAnsi="Tahoma" w:cs="Tahoma"/>
          <w:sz w:val="16"/>
          <w:szCs w:val="16"/>
        </w:rPr>
      </w:pPr>
      <w:r w:rsidRPr="00CD5734">
        <w:rPr>
          <w:rStyle w:val="Refdenotaalpie"/>
          <w:sz w:val="14"/>
          <w:szCs w:val="14"/>
        </w:rPr>
        <w:footnoteRef/>
      </w:r>
      <w:r w:rsidRPr="00CD5734">
        <w:rPr>
          <w:sz w:val="14"/>
          <w:szCs w:val="14"/>
        </w:rPr>
        <w:t xml:space="preserve"> </w:t>
      </w:r>
      <w:r w:rsidRPr="00CD5734">
        <w:rPr>
          <w:b/>
          <w:sz w:val="14"/>
          <w:szCs w:val="14"/>
        </w:rPr>
        <w:t>El Principio de Presunción de Veracidad</w:t>
      </w:r>
      <w:r w:rsidRPr="00CD5734">
        <w:rPr>
          <w:sz w:val="14"/>
          <w:szCs w:val="14"/>
        </w:rPr>
        <w:t xml:space="preserve"> consiste en </w:t>
      </w:r>
      <w:r w:rsidRPr="00CD5734">
        <w:rPr>
          <w:i/>
          <w:sz w:val="14"/>
          <w:szCs w:val="14"/>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sidRPr="00CD5734">
        <w:rPr>
          <w:sz w:val="14"/>
          <w:szCs w:val="14"/>
        </w:rPr>
        <w:t xml:space="preserve"> MORÓN URBINA, Juan Carlos. </w:t>
      </w:r>
      <w:r w:rsidRPr="00CD5734">
        <w:rPr>
          <w:b/>
          <w:sz w:val="14"/>
          <w:szCs w:val="14"/>
        </w:rPr>
        <w:t>Comentarios a la Ley del Procedimiento Administrativo General</w:t>
      </w:r>
      <w:r w:rsidRPr="00CD5734">
        <w:rPr>
          <w:sz w:val="14"/>
          <w:szCs w:val="14"/>
        </w:rPr>
        <w:t>. Cuarta Edición. Lima: Gaceta Jurídica, 2005; pp. 74 -75.</w:t>
      </w:r>
    </w:p>
  </w:footnote>
  <w:footnote w:id="3">
    <w:p w:rsidR="0099506E" w:rsidRDefault="0099506E" w:rsidP="0099506E">
      <w:pPr>
        <w:pStyle w:val="Textonotapie"/>
      </w:pPr>
      <w:r>
        <w:rPr>
          <w:rStyle w:val="Refdenotaalpie"/>
        </w:rPr>
        <w:footnoteRef/>
      </w:r>
      <w:r>
        <w:t xml:space="preserve"> Documento obrante a fojas 015 del expediente administrativo</w:t>
      </w:r>
    </w:p>
  </w:footnote>
  <w:footnote w:id="4">
    <w:p w:rsidR="0099506E" w:rsidRPr="00F50C22" w:rsidRDefault="0099506E" w:rsidP="0099506E">
      <w:pPr>
        <w:pStyle w:val="Textonotapie"/>
        <w:rPr>
          <w:i/>
          <w:sz w:val="16"/>
          <w:szCs w:val="16"/>
        </w:rPr>
      </w:pPr>
      <w:r w:rsidRPr="00F50C22">
        <w:rPr>
          <w:rStyle w:val="Refdenotaalpie"/>
          <w:i/>
          <w:sz w:val="16"/>
          <w:szCs w:val="16"/>
        </w:rPr>
        <w:footnoteRef/>
      </w:r>
      <w:r w:rsidRPr="00F50C22">
        <w:rPr>
          <w:b/>
          <w:i/>
          <w:sz w:val="16"/>
          <w:szCs w:val="16"/>
        </w:rPr>
        <w:t>Non bis in idem.-</w:t>
      </w:r>
      <w:r w:rsidRPr="00F50C22">
        <w:rPr>
          <w:i/>
          <w:sz w:val="16"/>
          <w:szCs w:val="16"/>
        </w:rPr>
        <w:t xml:space="preserve">No se podrá imponer sucesiva o simultáneamente una pena y una sanción administrativa por el mismo hecho en los casos en que se aprecie la identidad del sujeto, hecho y fundamento. </w:t>
      </w:r>
    </w:p>
    <w:p w:rsidR="0099506E" w:rsidRPr="00F50C22" w:rsidRDefault="0099506E" w:rsidP="0099506E">
      <w:pPr>
        <w:pStyle w:val="Textonotapie"/>
        <w:rPr>
          <w:i/>
          <w:sz w:val="16"/>
          <w:szCs w:val="16"/>
          <w:lang w:val="es-PE"/>
        </w:rPr>
      </w:pPr>
    </w:p>
  </w:footnote>
  <w:footnote w:id="5">
    <w:p w:rsidR="0099506E" w:rsidRPr="00F50C22" w:rsidRDefault="0099506E" w:rsidP="0099506E">
      <w:pPr>
        <w:pStyle w:val="Textonotapie"/>
        <w:rPr>
          <w:i/>
          <w:sz w:val="16"/>
          <w:szCs w:val="16"/>
          <w:lang w:val="es-PE"/>
        </w:rPr>
      </w:pPr>
      <w:r w:rsidRPr="00F50C22">
        <w:rPr>
          <w:rStyle w:val="Refdenotaalpie"/>
          <w:i/>
          <w:sz w:val="16"/>
          <w:szCs w:val="16"/>
        </w:rPr>
        <w:footnoteRef/>
      </w:r>
      <w:r w:rsidRPr="00F50C22">
        <w:rPr>
          <w:i/>
          <w:sz w:val="16"/>
          <w:szCs w:val="16"/>
        </w:rPr>
        <w:t xml:space="preserve"> </w:t>
      </w:r>
      <w:r w:rsidRPr="00F50C22">
        <w:rPr>
          <w:i/>
          <w:sz w:val="16"/>
          <w:szCs w:val="16"/>
          <w:lang w:val="es-PE"/>
        </w:rPr>
        <w:t>MORÓN URBINA, Juan Carlos. Comentarios a la Ley del Procedimiento Administrativo General. Cuarta Edición. Lima, 2005, p. 636.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F0C" w:rsidRDefault="00001F0C" w:rsidP="00001F0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01F0C" w:rsidRDefault="00001F0C" w:rsidP="00001F0C">
    <w:pPr>
      <w:pStyle w:val="Encabezado"/>
      <w:rPr>
        <w:noProof/>
      </w:rPr>
    </w:pPr>
  </w:p>
  <w:p w:rsidR="00001F0C" w:rsidRDefault="00001F0C" w:rsidP="00001F0C">
    <w:pPr>
      <w:pStyle w:val="Encabezado"/>
      <w:jc w:val="center"/>
      <w:rPr>
        <w:rFonts w:ascii="Monotype Corsiva" w:hAnsi="Monotype Corsiva"/>
        <w:b/>
        <w:sz w:val="44"/>
        <w:szCs w:val="44"/>
      </w:rPr>
    </w:pPr>
  </w:p>
  <w:p w:rsidR="00001F0C" w:rsidRDefault="00001F0C" w:rsidP="00001F0C">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1207-2011-TC-S1</w:t>
    </w:r>
  </w:p>
  <w:p w:rsidR="00001F0C" w:rsidRDefault="00001F0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616E"/>
    <w:multiLevelType w:val="hybridMultilevel"/>
    <w:tmpl w:val="A9D25F38"/>
    <w:lvl w:ilvl="0" w:tplc="74DA38DC">
      <w:start w:val="1"/>
      <w:numFmt w:val="lowerRoman"/>
      <w:lvlText w:val="(%1)"/>
      <w:lvlJc w:val="left"/>
      <w:pPr>
        <w:ind w:left="1287" w:hanging="72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5D74B5FA"/>
    <w:lvl w:ilvl="0" w:tplc="C9A2E41C">
      <w:start w:val="1"/>
      <w:numFmt w:val="decimal"/>
      <w:lvlText w:val="%1."/>
      <w:lvlJc w:val="left"/>
      <w:pPr>
        <w:tabs>
          <w:tab w:val="num" w:pos="720"/>
        </w:tabs>
        <w:ind w:left="720" w:hanging="360"/>
      </w:pPr>
      <w:rPr>
        <w:b/>
        <w:sz w:val="20"/>
        <w:szCs w:val="20"/>
        <w:lang w:val="es-ES_tradnl"/>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4957FE5"/>
    <w:multiLevelType w:val="hybridMultilevel"/>
    <w:tmpl w:val="A1AE25D2"/>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BC52A45"/>
    <w:multiLevelType w:val="hybridMultilevel"/>
    <w:tmpl w:val="9E1AF476"/>
    <w:lvl w:ilvl="0" w:tplc="A782BD50">
      <w:start w:val="1"/>
      <w:numFmt w:val="decimal"/>
      <w:lvlText w:val="%1."/>
      <w:lvlJc w:val="left"/>
      <w:pPr>
        <w:tabs>
          <w:tab w:val="num" w:pos="720"/>
        </w:tabs>
        <w:ind w:left="720" w:hanging="360"/>
      </w:pPr>
      <w:rPr>
        <w:rFonts w:hint="default"/>
      </w:rPr>
    </w:lvl>
    <w:lvl w:ilvl="1" w:tplc="970E7914">
      <w:start w:val="1"/>
      <w:numFmt w:val="decimal"/>
      <w:isLgl/>
      <w:lvlText w:val="%2."/>
      <w:lvlJc w:val="left"/>
      <w:pPr>
        <w:tabs>
          <w:tab w:val="num" w:pos="720"/>
        </w:tabs>
        <w:ind w:left="720" w:hanging="360"/>
      </w:pPr>
      <w:rPr>
        <w:rFonts w:ascii="Tahoma" w:eastAsia="Times New Roman" w:hAnsi="Tahoma" w:cs="Tahoma" w:hint="default"/>
        <w:b/>
        <w:lang w:val="es-ES"/>
      </w:rPr>
    </w:lvl>
    <w:lvl w:ilvl="2" w:tplc="A454C92E">
      <w:numFmt w:val="none"/>
      <w:lvlText w:val=""/>
      <w:lvlJc w:val="left"/>
      <w:pPr>
        <w:tabs>
          <w:tab w:val="num" w:pos="360"/>
        </w:tabs>
      </w:pPr>
    </w:lvl>
    <w:lvl w:ilvl="3" w:tplc="871A521E">
      <w:numFmt w:val="none"/>
      <w:lvlText w:val=""/>
      <w:lvlJc w:val="left"/>
      <w:pPr>
        <w:tabs>
          <w:tab w:val="num" w:pos="360"/>
        </w:tabs>
      </w:pPr>
    </w:lvl>
    <w:lvl w:ilvl="4" w:tplc="C20494B0">
      <w:numFmt w:val="none"/>
      <w:lvlText w:val=""/>
      <w:lvlJc w:val="left"/>
      <w:pPr>
        <w:tabs>
          <w:tab w:val="num" w:pos="360"/>
        </w:tabs>
      </w:pPr>
    </w:lvl>
    <w:lvl w:ilvl="5" w:tplc="907EB3E4">
      <w:numFmt w:val="none"/>
      <w:lvlText w:val=""/>
      <w:lvlJc w:val="left"/>
      <w:pPr>
        <w:tabs>
          <w:tab w:val="num" w:pos="360"/>
        </w:tabs>
      </w:pPr>
    </w:lvl>
    <w:lvl w:ilvl="6" w:tplc="A866F88C">
      <w:numFmt w:val="none"/>
      <w:lvlText w:val=""/>
      <w:lvlJc w:val="left"/>
      <w:pPr>
        <w:tabs>
          <w:tab w:val="num" w:pos="360"/>
        </w:tabs>
      </w:pPr>
    </w:lvl>
    <w:lvl w:ilvl="7" w:tplc="977E2C6E">
      <w:numFmt w:val="none"/>
      <w:lvlText w:val=""/>
      <w:lvlJc w:val="left"/>
      <w:pPr>
        <w:tabs>
          <w:tab w:val="num" w:pos="360"/>
        </w:tabs>
      </w:pPr>
    </w:lvl>
    <w:lvl w:ilvl="8" w:tplc="C060BC32">
      <w:numFmt w:val="none"/>
      <w:lvlText w:val=""/>
      <w:lvlJc w:val="left"/>
      <w:pPr>
        <w:tabs>
          <w:tab w:val="num" w:pos="360"/>
        </w:tabs>
      </w:pPr>
    </w:lvl>
  </w:abstractNum>
  <w:abstractNum w:abstractNumId="5">
    <w:nsid w:val="0D89661A"/>
    <w:multiLevelType w:val="hybridMultilevel"/>
    <w:tmpl w:val="535C76B8"/>
    <w:lvl w:ilvl="0" w:tplc="F4029CC2">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0F112858"/>
    <w:multiLevelType w:val="hybridMultilevel"/>
    <w:tmpl w:val="F51E3CDA"/>
    <w:lvl w:ilvl="0" w:tplc="E64EEB66">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10112248"/>
    <w:multiLevelType w:val="hybridMultilevel"/>
    <w:tmpl w:val="06621EA4"/>
    <w:lvl w:ilvl="0" w:tplc="A7C0195A">
      <w:start w:val="3"/>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E720AC6"/>
    <w:multiLevelType w:val="hybridMultilevel"/>
    <w:tmpl w:val="84D2FE7E"/>
    <w:lvl w:ilvl="0" w:tplc="E030217E">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0">
    <w:nsid w:val="37BB3AA8"/>
    <w:multiLevelType w:val="hybridMultilevel"/>
    <w:tmpl w:val="7ADCD1EA"/>
    <w:lvl w:ilvl="0" w:tplc="BA7A8036">
      <w:start w:val="1"/>
      <w:numFmt w:val="lowerRoman"/>
      <w:lvlText w:val="%1."/>
      <w:lvlJc w:val="right"/>
      <w:pPr>
        <w:ind w:left="1174" w:hanging="360"/>
      </w:pPr>
      <w:rPr>
        <w:b/>
      </w:rPr>
    </w:lvl>
    <w:lvl w:ilvl="1" w:tplc="0C0A0019" w:tentative="1">
      <w:start w:val="1"/>
      <w:numFmt w:val="lowerLetter"/>
      <w:lvlText w:val="%2."/>
      <w:lvlJc w:val="left"/>
      <w:pPr>
        <w:ind w:left="1894" w:hanging="360"/>
      </w:pPr>
    </w:lvl>
    <w:lvl w:ilvl="2" w:tplc="0C0A001B" w:tentative="1">
      <w:start w:val="1"/>
      <w:numFmt w:val="lowerRoman"/>
      <w:lvlText w:val="%3."/>
      <w:lvlJc w:val="right"/>
      <w:pPr>
        <w:ind w:left="2614" w:hanging="180"/>
      </w:pPr>
    </w:lvl>
    <w:lvl w:ilvl="3" w:tplc="0C0A000F" w:tentative="1">
      <w:start w:val="1"/>
      <w:numFmt w:val="decimal"/>
      <w:lvlText w:val="%4."/>
      <w:lvlJc w:val="left"/>
      <w:pPr>
        <w:ind w:left="3334" w:hanging="360"/>
      </w:pPr>
    </w:lvl>
    <w:lvl w:ilvl="4" w:tplc="0C0A0019" w:tentative="1">
      <w:start w:val="1"/>
      <w:numFmt w:val="lowerLetter"/>
      <w:lvlText w:val="%5."/>
      <w:lvlJc w:val="left"/>
      <w:pPr>
        <w:ind w:left="4054" w:hanging="360"/>
      </w:pPr>
    </w:lvl>
    <w:lvl w:ilvl="5" w:tplc="0C0A001B" w:tentative="1">
      <w:start w:val="1"/>
      <w:numFmt w:val="lowerRoman"/>
      <w:lvlText w:val="%6."/>
      <w:lvlJc w:val="right"/>
      <w:pPr>
        <w:ind w:left="4774" w:hanging="180"/>
      </w:pPr>
    </w:lvl>
    <w:lvl w:ilvl="6" w:tplc="0C0A000F" w:tentative="1">
      <w:start w:val="1"/>
      <w:numFmt w:val="decimal"/>
      <w:lvlText w:val="%7."/>
      <w:lvlJc w:val="left"/>
      <w:pPr>
        <w:ind w:left="5494" w:hanging="360"/>
      </w:pPr>
    </w:lvl>
    <w:lvl w:ilvl="7" w:tplc="0C0A0019" w:tentative="1">
      <w:start w:val="1"/>
      <w:numFmt w:val="lowerLetter"/>
      <w:lvlText w:val="%8."/>
      <w:lvlJc w:val="left"/>
      <w:pPr>
        <w:ind w:left="6214" w:hanging="360"/>
      </w:pPr>
    </w:lvl>
    <w:lvl w:ilvl="8" w:tplc="0C0A001B" w:tentative="1">
      <w:start w:val="1"/>
      <w:numFmt w:val="lowerRoman"/>
      <w:lvlText w:val="%9."/>
      <w:lvlJc w:val="right"/>
      <w:pPr>
        <w:ind w:left="6934" w:hanging="180"/>
      </w:pPr>
    </w:lvl>
  </w:abstractNum>
  <w:abstractNum w:abstractNumId="11">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44E306A8"/>
    <w:multiLevelType w:val="hybridMultilevel"/>
    <w:tmpl w:val="3A32E608"/>
    <w:lvl w:ilvl="0" w:tplc="4A1C6E70">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4">
    <w:nsid w:val="490628FE"/>
    <w:multiLevelType w:val="hybridMultilevel"/>
    <w:tmpl w:val="5A5AAEA8"/>
    <w:lvl w:ilvl="0" w:tplc="EFB20A9A">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5">
    <w:nsid w:val="568D15DF"/>
    <w:multiLevelType w:val="hybridMultilevel"/>
    <w:tmpl w:val="A1DC23A4"/>
    <w:lvl w:ilvl="0" w:tplc="0C0A0019">
      <w:start w:val="1"/>
      <w:numFmt w:val="lowerLetter"/>
      <w:lvlText w:val="%1."/>
      <w:lvlJc w:val="left"/>
      <w:pPr>
        <w:ind w:left="1120" w:hanging="360"/>
      </w:p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6">
    <w:nsid w:val="5E1931F5"/>
    <w:multiLevelType w:val="hybridMultilevel"/>
    <w:tmpl w:val="D41CE2DC"/>
    <w:lvl w:ilvl="0" w:tplc="BD609598">
      <w:start w:val="1"/>
      <w:numFmt w:val="decimal"/>
      <w:lvlText w:val="%1."/>
      <w:lvlJc w:val="left"/>
      <w:pPr>
        <w:tabs>
          <w:tab w:val="num" w:pos="360"/>
        </w:tabs>
        <w:ind w:left="360" w:hanging="360"/>
      </w:pPr>
      <w:rPr>
        <w:rFonts w:ascii="Tahoma" w:hAnsi="Tahoma" w:cs="Tahoma" w:hint="default"/>
        <w:b/>
        <w:sz w:val="20"/>
        <w:szCs w:val="20"/>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61862456"/>
    <w:multiLevelType w:val="hybridMultilevel"/>
    <w:tmpl w:val="2532449A"/>
    <w:lvl w:ilvl="0" w:tplc="417248C0">
      <w:start w:val="1"/>
      <w:numFmt w:val="decimal"/>
      <w:lvlText w:val="%1."/>
      <w:lvlJc w:val="left"/>
      <w:pPr>
        <w:tabs>
          <w:tab w:val="num" w:pos="360"/>
        </w:tabs>
        <w:ind w:left="360" w:hanging="360"/>
      </w:pPr>
      <w:rPr>
        <w:b/>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8">
    <w:nsid w:val="6722597F"/>
    <w:multiLevelType w:val="hybridMultilevel"/>
    <w:tmpl w:val="AF6EBD46"/>
    <w:lvl w:ilvl="0" w:tplc="522A75B8">
      <w:start w:val="1"/>
      <w:numFmt w:val="decimal"/>
      <w:lvlText w:val="%1."/>
      <w:lvlJc w:val="left"/>
      <w:pPr>
        <w:ind w:left="720" w:hanging="360"/>
      </w:pPr>
      <w:rPr>
        <w:b/>
        <w:shadow w:val="0"/>
        <w:sz w:val="24"/>
        <w:szCs w:val="24"/>
      </w:rPr>
    </w:lvl>
    <w:lvl w:ilvl="1" w:tplc="3D94CC94">
      <w:start w:val="1"/>
      <w:numFmt w:val="decimal"/>
      <w:lvlText w:val="%2."/>
      <w:lvlJc w:val="left"/>
      <w:pPr>
        <w:tabs>
          <w:tab w:val="num" w:pos="1440"/>
        </w:tabs>
        <w:ind w:left="1440" w:hanging="360"/>
      </w:pPr>
      <w:rPr>
        <w:b/>
        <w:shadow w:val="0"/>
        <w:sz w:val="24"/>
        <w:szCs w:val="24"/>
      </w:rPr>
    </w:lvl>
    <w:lvl w:ilvl="2" w:tplc="BF607EF6">
      <w:start w:val="5"/>
      <w:numFmt w:val="upperLetter"/>
      <w:lvlText w:val="%3."/>
      <w:lvlJc w:val="left"/>
      <w:pPr>
        <w:tabs>
          <w:tab w:val="num" w:pos="2340"/>
        </w:tabs>
        <w:ind w:left="2340" w:hanging="360"/>
      </w:pPr>
      <w:rPr>
        <w:rFonts w:hint="default"/>
        <w:sz w:val="24"/>
        <w:szCs w:val="24"/>
      </w:rPr>
    </w:lvl>
    <w:lvl w:ilvl="3" w:tplc="0ADE54CC">
      <w:start w:val="1"/>
      <w:numFmt w:val="lowerLetter"/>
      <w:lvlText w:val="%4."/>
      <w:lvlJc w:val="left"/>
      <w:pPr>
        <w:ind w:left="2880" w:hanging="360"/>
      </w:pPr>
      <w:rPr>
        <w:rFonts w:hint="default"/>
        <w:b/>
      </w:rPr>
    </w:lvl>
    <w:lvl w:ilvl="4" w:tplc="B7E2CC06">
      <w:start w:val="1"/>
      <w:numFmt w:val="lowerRoman"/>
      <w:lvlText w:val="(%5)"/>
      <w:lvlJc w:val="left"/>
      <w:pPr>
        <w:ind w:left="3960" w:hanging="72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nsid w:val="742A4401"/>
    <w:multiLevelType w:val="hybridMultilevel"/>
    <w:tmpl w:val="4532242E"/>
    <w:lvl w:ilvl="0" w:tplc="75360182">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17"/>
  </w:num>
  <w:num w:numId="2">
    <w:abstractNumId w:val="11"/>
  </w:num>
  <w:num w:numId="3">
    <w:abstractNumId w:val="15"/>
  </w:num>
  <w:num w:numId="4">
    <w:abstractNumId w:val="12"/>
  </w:num>
  <w:num w:numId="5">
    <w:abstractNumId w:val="18"/>
  </w:num>
  <w:num w:numId="6">
    <w:abstractNumId w:val="4"/>
  </w:num>
  <w:num w:numId="7">
    <w:abstractNumId w:val="1"/>
  </w:num>
  <w:num w:numId="8">
    <w:abstractNumId w:val="2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9"/>
  </w:num>
  <w:num w:numId="12">
    <w:abstractNumId w:val="13"/>
  </w:num>
  <w:num w:numId="13">
    <w:abstractNumId w:val="3"/>
  </w:num>
  <w:num w:numId="14">
    <w:abstractNumId w:val="9"/>
  </w:num>
  <w:num w:numId="15">
    <w:abstractNumId w:val="5"/>
  </w:num>
  <w:num w:numId="16">
    <w:abstractNumId w:val="10"/>
  </w:num>
  <w:num w:numId="17">
    <w:abstractNumId w:val="2"/>
  </w:num>
  <w:num w:numId="18">
    <w:abstractNumId w:val="7"/>
  </w:num>
  <w:num w:numId="19">
    <w:abstractNumId w:val="16"/>
  </w:num>
  <w:num w:numId="20">
    <w:abstractNumId w:val="14"/>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w:hdrShapeDefaults>
  <w:footnotePr>
    <w:footnote w:id="0"/>
    <w:footnote w:id="1"/>
  </w:footnotePr>
  <w:endnotePr>
    <w:endnote w:id="0"/>
    <w:endnote w:id="1"/>
  </w:endnotePr>
  <w:compat/>
  <w:rsids>
    <w:rsidRoot w:val="00F31A7A"/>
    <w:rsid w:val="00001F0C"/>
    <w:rsid w:val="00070FAF"/>
    <w:rsid w:val="000A09D0"/>
    <w:rsid w:val="00117E78"/>
    <w:rsid w:val="00165ACF"/>
    <w:rsid w:val="00190839"/>
    <w:rsid w:val="001C6C04"/>
    <w:rsid w:val="001D3157"/>
    <w:rsid w:val="00243346"/>
    <w:rsid w:val="00244785"/>
    <w:rsid w:val="00266B38"/>
    <w:rsid w:val="002E7D7B"/>
    <w:rsid w:val="002F2CE4"/>
    <w:rsid w:val="003815B1"/>
    <w:rsid w:val="003B3C54"/>
    <w:rsid w:val="003C17E3"/>
    <w:rsid w:val="003C4B76"/>
    <w:rsid w:val="003D41FE"/>
    <w:rsid w:val="004504AC"/>
    <w:rsid w:val="004729F3"/>
    <w:rsid w:val="004F332E"/>
    <w:rsid w:val="00503296"/>
    <w:rsid w:val="0054123A"/>
    <w:rsid w:val="00544CD7"/>
    <w:rsid w:val="005C380D"/>
    <w:rsid w:val="005D3AB3"/>
    <w:rsid w:val="006238E2"/>
    <w:rsid w:val="00623C2C"/>
    <w:rsid w:val="006358E8"/>
    <w:rsid w:val="00642CC8"/>
    <w:rsid w:val="00642E9A"/>
    <w:rsid w:val="00657092"/>
    <w:rsid w:val="006C0410"/>
    <w:rsid w:val="006C4E34"/>
    <w:rsid w:val="006E19A7"/>
    <w:rsid w:val="006E5F31"/>
    <w:rsid w:val="00741529"/>
    <w:rsid w:val="007728C3"/>
    <w:rsid w:val="00781E29"/>
    <w:rsid w:val="007E5F0C"/>
    <w:rsid w:val="00804646"/>
    <w:rsid w:val="008445EA"/>
    <w:rsid w:val="00847257"/>
    <w:rsid w:val="008747A7"/>
    <w:rsid w:val="008A0308"/>
    <w:rsid w:val="008B483F"/>
    <w:rsid w:val="008E2FB1"/>
    <w:rsid w:val="009560FA"/>
    <w:rsid w:val="0099506E"/>
    <w:rsid w:val="009B1C66"/>
    <w:rsid w:val="00A21BBB"/>
    <w:rsid w:val="00A9560E"/>
    <w:rsid w:val="00AB6ACE"/>
    <w:rsid w:val="00AD7110"/>
    <w:rsid w:val="00B05429"/>
    <w:rsid w:val="00B2257E"/>
    <w:rsid w:val="00B67DD8"/>
    <w:rsid w:val="00B769E4"/>
    <w:rsid w:val="00B778BE"/>
    <w:rsid w:val="00BA2FFB"/>
    <w:rsid w:val="00BB0120"/>
    <w:rsid w:val="00BB400F"/>
    <w:rsid w:val="00BC58A3"/>
    <w:rsid w:val="00BD171B"/>
    <w:rsid w:val="00BF50B0"/>
    <w:rsid w:val="00BF5DC8"/>
    <w:rsid w:val="00C24737"/>
    <w:rsid w:val="00CC086D"/>
    <w:rsid w:val="00CD02B0"/>
    <w:rsid w:val="00D14003"/>
    <w:rsid w:val="00D46E7E"/>
    <w:rsid w:val="00D72AF0"/>
    <w:rsid w:val="00D916B6"/>
    <w:rsid w:val="00D93ED4"/>
    <w:rsid w:val="00DA1F47"/>
    <w:rsid w:val="00E06617"/>
    <w:rsid w:val="00E15612"/>
    <w:rsid w:val="00E41CD3"/>
    <w:rsid w:val="00E51419"/>
    <w:rsid w:val="00E8118F"/>
    <w:rsid w:val="00E86C2E"/>
    <w:rsid w:val="00EA2BDE"/>
    <w:rsid w:val="00EA4E20"/>
    <w:rsid w:val="00EB7FD8"/>
    <w:rsid w:val="00F178DF"/>
    <w:rsid w:val="00F31A7A"/>
    <w:rsid w:val="00F71648"/>
    <w:rsid w:val="00F92973"/>
    <w:rsid w:val="00FC4CCB"/>
    <w:rsid w:val="00FF0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A7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31A7A"/>
    <w:pPr>
      <w:jc w:val="both"/>
    </w:pPr>
    <w:rPr>
      <w:rFonts w:ascii="Tahoma" w:hAnsi="Tahoma"/>
      <w:szCs w:val="20"/>
      <w:lang w:val="es-PE"/>
    </w:rPr>
  </w:style>
  <w:style w:type="character" w:customStyle="1" w:styleId="TextoindependienteCar">
    <w:name w:val="Texto independiente Car"/>
    <w:basedOn w:val="Fuentedeprrafopredeter"/>
    <w:link w:val="Textoindependiente"/>
    <w:rsid w:val="00F31A7A"/>
    <w:rPr>
      <w:rFonts w:ascii="Tahoma" w:eastAsia="Times New Roman" w:hAnsi="Tahoma" w:cs="Times New Roman"/>
      <w:sz w:val="24"/>
      <w:szCs w:val="20"/>
      <w:lang w:val="es-PE" w:eastAsia="es-ES"/>
    </w:rPr>
  </w:style>
  <w:style w:type="paragraph" w:styleId="Piedepgina">
    <w:name w:val="footer"/>
    <w:basedOn w:val="Normal"/>
    <w:link w:val="PiedepginaCar"/>
    <w:rsid w:val="00F31A7A"/>
    <w:pPr>
      <w:tabs>
        <w:tab w:val="center" w:pos="4252"/>
        <w:tab w:val="right" w:pos="8504"/>
      </w:tabs>
    </w:pPr>
  </w:style>
  <w:style w:type="character" w:customStyle="1" w:styleId="PiedepginaCar">
    <w:name w:val="Pie de página Car"/>
    <w:basedOn w:val="Fuentedeprrafopredeter"/>
    <w:link w:val="Piedepgina"/>
    <w:rsid w:val="00F31A7A"/>
    <w:rPr>
      <w:rFonts w:ascii="Times New Roman" w:eastAsia="Times New Roman" w:hAnsi="Times New Roman" w:cs="Times New Roman"/>
      <w:sz w:val="24"/>
      <w:szCs w:val="24"/>
      <w:lang w:eastAsia="es-ES"/>
    </w:rPr>
  </w:style>
  <w:style w:type="paragraph" w:styleId="Textonotapie">
    <w:name w:val="footnote text"/>
    <w:aliases w:val=" Car,Car, Car4,Car Car Car,Texto nota pie1,Body Text,Car4, Car2 Car Car Car Car Car, Car2 Car, Car2, Car1 Car,Car1 Car, Car2 Car1 Car,Car2 Car Car Car Car Car,Car2 Car Car,Car2 Car Car Car Car Car Car, Car1,Car Car Car Car Car"/>
    <w:basedOn w:val="Normal"/>
    <w:link w:val="TextonotapieCar"/>
    <w:rsid w:val="00F31A7A"/>
    <w:rPr>
      <w:sz w:val="20"/>
      <w:szCs w:val="20"/>
    </w:rPr>
  </w:style>
  <w:style w:type="character" w:customStyle="1" w:styleId="TextonotapieCar">
    <w:name w:val="Texto nota pie Car"/>
    <w:aliases w:val=" Car Car,Car Car, Car4 Car,Car Car Car Car,Texto nota pie1 Car,Body Text Car,Car4 Car, Car2 Car Car Car Car Car Car, Car2 Car Car, Car2 Car1, Car1 Car Car,Car1 Car Car, Car2 Car1 Car Car,Car2 Car Car Car Car Car Car1,Car2 Car Car Car"/>
    <w:basedOn w:val="Fuentedeprrafopredeter"/>
    <w:link w:val="Textonotapie"/>
    <w:rsid w:val="00F31A7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31A7A"/>
    <w:rPr>
      <w:vertAlign w:val="superscript"/>
    </w:rPr>
  </w:style>
  <w:style w:type="paragraph" w:styleId="Prrafodelista">
    <w:name w:val="List Paragraph"/>
    <w:basedOn w:val="Normal"/>
    <w:qFormat/>
    <w:rsid w:val="00F31A7A"/>
    <w:pPr>
      <w:ind w:left="708"/>
    </w:pPr>
  </w:style>
  <w:style w:type="paragraph" w:styleId="NormalWeb">
    <w:name w:val="Normal (Web)"/>
    <w:basedOn w:val="Normal"/>
    <w:uiPriority w:val="99"/>
    <w:rsid w:val="00F31A7A"/>
    <w:pPr>
      <w:spacing w:before="100" w:beforeAutospacing="1" w:after="100" w:afterAutospacing="1"/>
    </w:pPr>
    <w:rPr>
      <w:rFonts w:eastAsia="MS Mincho"/>
    </w:rPr>
  </w:style>
  <w:style w:type="paragraph" w:customStyle="1" w:styleId="Textoindependiente21">
    <w:name w:val="Texto independiente 21"/>
    <w:basedOn w:val="Normal"/>
    <w:rsid w:val="00F31A7A"/>
    <w:pPr>
      <w:jc w:val="both"/>
    </w:pPr>
    <w:rPr>
      <w:rFonts w:ascii="Tahoma" w:hAnsi="Tahoma"/>
      <w:sz w:val="22"/>
      <w:szCs w:val="20"/>
    </w:rPr>
  </w:style>
  <w:style w:type="paragraph" w:styleId="Sinespaciado">
    <w:name w:val="No Spacing"/>
    <w:uiPriority w:val="1"/>
    <w:qFormat/>
    <w:rsid w:val="00F31A7A"/>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781E29"/>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781E29"/>
    <w:rPr>
      <w:rFonts w:ascii="Times New Roman" w:eastAsia="Times New Roman" w:hAnsi="Times New Roman" w:cs="Times New Roman"/>
      <w:sz w:val="20"/>
      <w:szCs w:val="20"/>
      <w:lang w:eastAsia="es-ES"/>
    </w:rPr>
  </w:style>
  <w:style w:type="table" w:styleId="Tablaconcuadrcula">
    <w:name w:val="Table Grid"/>
    <w:basedOn w:val="Tablanormal"/>
    <w:uiPriority w:val="59"/>
    <w:rsid w:val="00266B38"/>
    <w:pPr>
      <w:spacing w:after="0" w:line="240" w:lineRule="auto"/>
    </w:pPr>
    <w:rPr>
      <w:rFonts w:ascii="Calibri" w:eastAsia="Calibri" w:hAnsi="Calibri" w:cs="Times New Roman"/>
      <w:sz w:val="20"/>
      <w:szCs w:val="20"/>
      <w:lang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2">
    <w:name w:val="Body Text 2"/>
    <w:basedOn w:val="Normal"/>
    <w:link w:val="Textoindependiente2Car"/>
    <w:uiPriority w:val="99"/>
    <w:semiHidden/>
    <w:unhideWhenUsed/>
    <w:rsid w:val="001C6C04"/>
    <w:pPr>
      <w:spacing w:after="120" w:line="480" w:lineRule="auto"/>
    </w:pPr>
  </w:style>
  <w:style w:type="character" w:customStyle="1" w:styleId="Textoindependiente2Car">
    <w:name w:val="Texto independiente 2 Car"/>
    <w:basedOn w:val="Fuentedeprrafopredeter"/>
    <w:link w:val="Textoindependiente2"/>
    <w:uiPriority w:val="99"/>
    <w:semiHidden/>
    <w:rsid w:val="001C6C04"/>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semiHidden/>
    <w:unhideWhenUsed/>
    <w:rsid w:val="0050329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03296"/>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nhideWhenUsed/>
    <w:rsid w:val="008A0308"/>
    <w:pPr>
      <w:spacing w:after="120"/>
      <w:ind w:left="283"/>
    </w:pPr>
  </w:style>
  <w:style w:type="character" w:customStyle="1" w:styleId="SangradetextonormalCar">
    <w:name w:val="Sangría de texto normal Car"/>
    <w:basedOn w:val="Fuentedeprrafopredeter"/>
    <w:link w:val="Sangradetextonormal"/>
    <w:rsid w:val="008A0308"/>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90618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8</Pages>
  <Words>3379</Words>
  <Characters>18585</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85</cp:revision>
  <cp:lastPrinted>2011-07-11T20:11:00Z</cp:lastPrinted>
  <dcterms:created xsi:type="dcterms:W3CDTF">2009-12-29T19:22:00Z</dcterms:created>
  <dcterms:modified xsi:type="dcterms:W3CDTF">2011-08-15T15:11:00Z</dcterms:modified>
</cp:coreProperties>
</file>